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E7A" w:rsidRDefault="000A50C9">
      <w:pPr>
        <w:spacing w:line="360" w:lineRule="auto"/>
        <w:jc w:val="center"/>
        <w:rPr>
          <w:rFonts w:ascii="宋体" w:eastAsia="宋体" w:hAnsi="宋体"/>
          <w:b/>
          <w:bCs/>
          <w:sz w:val="40"/>
          <w:szCs w:val="44"/>
        </w:rPr>
      </w:pPr>
      <w:r>
        <w:rPr>
          <w:rFonts w:ascii="宋体" w:eastAsia="宋体" w:hAnsi="宋体" w:hint="eastAsia"/>
          <w:b/>
          <w:bCs/>
          <w:sz w:val="40"/>
          <w:szCs w:val="44"/>
        </w:rPr>
        <w:t>《制盐工业通用检测方法 硒的测定》</w:t>
      </w:r>
    </w:p>
    <w:p w:rsidR="00B61E7A" w:rsidRDefault="000A50C9">
      <w:pPr>
        <w:spacing w:line="360" w:lineRule="auto"/>
        <w:jc w:val="center"/>
        <w:rPr>
          <w:rFonts w:ascii="宋体" w:eastAsia="宋体" w:hAnsi="宋体"/>
          <w:b/>
          <w:bCs/>
          <w:sz w:val="40"/>
          <w:szCs w:val="44"/>
        </w:rPr>
      </w:pPr>
      <w:r>
        <w:rPr>
          <w:rFonts w:ascii="宋体" w:eastAsia="宋体" w:hAnsi="宋体" w:hint="eastAsia"/>
          <w:b/>
          <w:bCs/>
          <w:sz w:val="40"/>
          <w:szCs w:val="44"/>
        </w:rPr>
        <w:t>编制说明（征求意见稿）</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一、</w:t>
      </w:r>
      <w:r>
        <w:rPr>
          <w:rFonts w:ascii="宋体" w:eastAsia="宋体" w:hAnsi="宋体"/>
          <w:b/>
          <w:bCs/>
          <w:sz w:val="24"/>
          <w:szCs w:val="24"/>
        </w:rPr>
        <w:t xml:space="preserve"> </w:t>
      </w:r>
      <w:r>
        <w:rPr>
          <w:rFonts w:ascii="宋体" w:eastAsia="宋体" w:hAnsi="宋体" w:hint="eastAsia"/>
          <w:b/>
          <w:bCs/>
          <w:sz w:val="24"/>
          <w:szCs w:val="24"/>
        </w:rPr>
        <w:t>工作简况</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b/>
          <w:bCs/>
          <w:sz w:val="24"/>
          <w:szCs w:val="24"/>
        </w:rPr>
        <w:t>1</w:t>
      </w:r>
      <w:r>
        <w:rPr>
          <w:rFonts w:ascii="宋体" w:eastAsia="宋体" w:hAnsi="宋体" w:hint="eastAsia"/>
          <w:b/>
          <w:bCs/>
          <w:sz w:val="24"/>
          <w:szCs w:val="24"/>
        </w:rPr>
        <w:t>、任务来源</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本项目根据工业和信息化部《2</w:t>
      </w:r>
      <w:r>
        <w:rPr>
          <w:rFonts w:ascii="宋体" w:eastAsia="宋体" w:hAnsi="宋体"/>
          <w:sz w:val="24"/>
          <w:szCs w:val="24"/>
        </w:rPr>
        <w:t>02</w:t>
      </w:r>
      <w:r>
        <w:rPr>
          <w:rFonts w:ascii="宋体" w:eastAsia="宋体" w:hAnsi="宋体" w:hint="eastAsia"/>
          <w:sz w:val="24"/>
          <w:szCs w:val="24"/>
        </w:rPr>
        <w:t>3年第一批行业标准制修订和外文版项目计划》（工信厅科函〔</w:t>
      </w:r>
      <w:r>
        <w:rPr>
          <w:rFonts w:ascii="宋体" w:eastAsia="宋体" w:hAnsi="宋体"/>
          <w:sz w:val="24"/>
          <w:szCs w:val="24"/>
        </w:rPr>
        <w:t>202</w:t>
      </w:r>
      <w:r>
        <w:rPr>
          <w:rFonts w:ascii="宋体" w:eastAsia="宋体" w:hAnsi="宋体" w:hint="eastAsia"/>
          <w:sz w:val="24"/>
          <w:szCs w:val="24"/>
        </w:rPr>
        <w:t>3〕</w:t>
      </w:r>
      <w:r>
        <w:rPr>
          <w:rFonts w:ascii="宋体" w:eastAsia="宋体" w:hAnsi="宋体"/>
          <w:sz w:val="24"/>
          <w:szCs w:val="24"/>
        </w:rPr>
        <w:t>18</w:t>
      </w:r>
      <w:r>
        <w:rPr>
          <w:rFonts w:ascii="宋体" w:eastAsia="宋体" w:hAnsi="宋体" w:hint="eastAsia"/>
          <w:sz w:val="24"/>
          <w:szCs w:val="24"/>
        </w:rPr>
        <w:t>号）要求，计划编号为</w:t>
      </w:r>
      <w:r>
        <w:rPr>
          <w:rFonts w:ascii="宋体" w:eastAsia="宋体" w:hAnsi="宋体"/>
          <w:sz w:val="24"/>
          <w:szCs w:val="24"/>
        </w:rPr>
        <w:t xml:space="preserve"> 202</w:t>
      </w: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0479</w:t>
      </w:r>
      <w:r>
        <w:rPr>
          <w:rFonts w:ascii="宋体" w:eastAsia="宋体" w:hAnsi="宋体"/>
          <w:sz w:val="24"/>
          <w:szCs w:val="24"/>
        </w:rPr>
        <w:t>T-QB</w:t>
      </w:r>
      <w:r>
        <w:rPr>
          <w:rFonts w:ascii="宋体" w:eastAsia="宋体" w:hAnsi="宋体" w:hint="eastAsia"/>
          <w:sz w:val="24"/>
          <w:szCs w:val="24"/>
        </w:rPr>
        <w:t>，项目名称“制盐工业通用检测方法 硒的测定”进行标准制订，主要起草单位：国盐检测（天津）有限责任公司</w:t>
      </w:r>
      <w:r>
        <w:rPr>
          <w:rFonts w:ascii="宋体" w:eastAsia="宋体" w:hAnsi="宋体"/>
          <w:sz w:val="24"/>
          <w:szCs w:val="24"/>
        </w:rPr>
        <w:t>、</w:t>
      </w:r>
      <w:r>
        <w:rPr>
          <w:rFonts w:ascii="宋体" w:eastAsia="宋体" w:hAnsi="宋体" w:hint="eastAsia"/>
          <w:sz w:val="24"/>
          <w:szCs w:val="24"/>
        </w:rPr>
        <w:t>中盐工程技术研究院有限公司、天津科技大学</w:t>
      </w:r>
      <w:r>
        <w:rPr>
          <w:rFonts w:ascii="宋体" w:eastAsia="宋体" w:hAnsi="宋体"/>
          <w:sz w:val="24"/>
          <w:szCs w:val="24"/>
        </w:rPr>
        <w:t>，</w:t>
      </w:r>
      <w:r>
        <w:rPr>
          <w:rFonts w:ascii="宋体" w:eastAsia="宋体" w:hAnsi="宋体" w:hint="eastAsia"/>
          <w:sz w:val="24"/>
          <w:szCs w:val="24"/>
        </w:rPr>
        <w:t>计划完成时间2025年3月。</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b/>
          <w:bCs/>
          <w:sz w:val="24"/>
          <w:szCs w:val="24"/>
        </w:rPr>
        <w:t>2</w:t>
      </w:r>
      <w:r>
        <w:rPr>
          <w:rFonts w:ascii="宋体" w:eastAsia="宋体" w:hAnsi="宋体" w:hint="eastAsia"/>
          <w:b/>
          <w:bCs/>
          <w:sz w:val="24"/>
          <w:szCs w:val="24"/>
        </w:rPr>
        <w:t>、主要起草过程</w:t>
      </w:r>
    </w:p>
    <w:p w:rsidR="00C039D0" w:rsidRPr="00C039D0" w:rsidRDefault="00C039D0">
      <w:pPr>
        <w:spacing w:line="360" w:lineRule="auto"/>
        <w:ind w:firstLineChars="200" w:firstLine="482"/>
        <w:rPr>
          <w:rFonts w:ascii="宋体" w:eastAsia="宋体" w:hAnsi="宋体"/>
          <w:b/>
          <w:sz w:val="24"/>
          <w:szCs w:val="24"/>
        </w:rPr>
      </w:pPr>
      <w:r w:rsidRPr="00C039D0">
        <w:rPr>
          <w:rFonts w:ascii="宋体" w:eastAsia="宋体" w:hAnsi="宋体" w:hint="eastAsia"/>
          <w:b/>
          <w:sz w:val="24"/>
          <w:szCs w:val="24"/>
        </w:rPr>
        <w:t>2</w:t>
      </w:r>
      <w:r w:rsidRPr="00C039D0">
        <w:rPr>
          <w:rFonts w:ascii="宋体" w:eastAsia="宋体" w:hAnsi="宋体"/>
          <w:b/>
          <w:sz w:val="24"/>
          <w:szCs w:val="24"/>
        </w:rPr>
        <w:t>.1起草阶段</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标准起草任务下达后，起草单位组织专家成立了标准起草工作组，</w:t>
      </w:r>
      <w:r>
        <w:rPr>
          <w:rFonts w:ascii="宋体" w:eastAsia="宋体" w:hAnsi="宋体"/>
          <w:sz w:val="24"/>
          <w:szCs w:val="24"/>
        </w:rPr>
        <w:t>小组成员中有多年从事标准化工作且经验丰富的</w:t>
      </w:r>
      <w:r>
        <w:rPr>
          <w:rFonts w:ascii="宋体" w:eastAsia="宋体" w:hAnsi="宋体" w:hint="eastAsia"/>
          <w:sz w:val="24"/>
          <w:szCs w:val="24"/>
        </w:rPr>
        <w:t>工程师、</w:t>
      </w:r>
      <w:r>
        <w:rPr>
          <w:rFonts w:ascii="宋体" w:eastAsia="宋体" w:hAnsi="宋体"/>
          <w:sz w:val="24"/>
          <w:szCs w:val="24"/>
        </w:rPr>
        <w:t>检测</w:t>
      </w:r>
      <w:r>
        <w:rPr>
          <w:rFonts w:ascii="宋体" w:eastAsia="宋体" w:hAnsi="宋体" w:hint="eastAsia"/>
          <w:sz w:val="24"/>
          <w:szCs w:val="24"/>
        </w:rPr>
        <w:t>人员。标准起草工作组</w:t>
      </w:r>
      <w:r>
        <w:rPr>
          <w:rFonts w:ascii="宋体" w:eastAsia="宋体" w:hAnsi="宋体"/>
          <w:sz w:val="24"/>
          <w:szCs w:val="24"/>
        </w:rPr>
        <w:t>对标准编写工作进行</w:t>
      </w:r>
      <w:r>
        <w:rPr>
          <w:rFonts w:ascii="宋体" w:eastAsia="宋体" w:hAnsi="宋体" w:hint="eastAsia"/>
          <w:sz w:val="24"/>
          <w:szCs w:val="24"/>
        </w:rPr>
        <w:t>初步</w:t>
      </w:r>
      <w:r>
        <w:rPr>
          <w:rFonts w:ascii="宋体" w:eastAsia="宋体" w:hAnsi="宋体"/>
          <w:sz w:val="24"/>
          <w:szCs w:val="24"/>
        </w:rPr>
        <w:t>讨论和安排</w:t>
      </w:r>
      <w:r>
        <w:rPr>
          <w:rFonts w:ascii="宋体" w:eastAsia="宋体" w:hAnsi="宋体" w:hint="eastAsia"/>
          <w:sz w:val="24"/>
          <w:szCs w:val="24"/>
        </w:rPr>
        <w:t>，明确了标准起草进程和各起草单位及人员的分工。小组成员根据制定标准需要，查阅相关文献，收集了大量资料，并与富硒食盐生产企业进行技术交流，充分了解对盐产品及卤水中硒含量种类及检测方法等信息，为进一步试验做准备。</w:t>
      </w:r>
    </w:p>
    <w:p w:rsidR="00B61E7A" w:rsidRDefault="000A50C9">
      <w:pPr>
        <w:spacing w:line="360" w:lineRule="auto"/>
        <w:ind w:firstLineChars="200" w:firstLine="480"/>
        <w:rPr>
          <w:rFonts w:ascii="宋体" w:eastAsia="宋体" w:hAnsi="宋体"/>
          <w:sz w:val="24"/>
          <w:szCs w:val="24"/>
        </w:rPr>
      </w:pPr>
      <w:r>
        <w:rPr>
          <w:rFonts w:ascii="宋体" w:eastAsia="宋体" w:hAnsi="宋体"/>
          <w:sz w:val="24"/>
          <w:szCs w:val="24"/>
        </w:rPr>
        <w:t>202</w:t>
      </w:r>
      <w:r>
        <w:rPr>
          <w:rFonts w:ascii="宋体" w:eastAsia="宋体" w:hAnsi="宋体" w:hint="eastAsia"/>
          <w:sz w:val="24"/>
          <w:szCs w:val="24"/>
        </w:rPr>
        <w:t>3</w:t>
      </w:r>
      <w:r>
        <w:rPr>
          <w:rFonts w:ascii="宋体" w:eastAsia="宋体" w:hAnsi="宋体"/>
          <w:sz w:val="24"/>
          <w:szCs w:val="24"/>
        </w:rPr>
        <w:t>年</w:t>
      </w:r>
      <w:r>
        <w:rPr>
          <w:rFonts w:ascii="宋体" w:eastAsia="宋体" w:hAnsi="宋体" w:hint="eastAsia"/>
          <w:sz w:val="24"/>
          <w:szCs w:val="24"/>
        </w:rPr>
        <w:t>5</w:t>
      </w:r>
      <w:r>
        <w:rPr>
          <w:rFonts w:ascii="宋体" w:eastAsia="宋体" w:hAnsi="宋体"/>
          <w:sz w:val="24"/>
          <w:szCs w:val="24"/>
        </w:rPr>
        <w:t>月</w:t>
      </w:r>
      <w:r>
        <w:rPr>
          <w:rFonts w:ascii="宋体" w:eastAsia="宋体" w:hAnsi="宋体" w:hint="eastAsia"/>
          <w:sz w:val="24"/>
          <w:szCs w:val="24"/>
        </w:rPr>
        <w:t>至</w:t>
      </w:r>
      <w:r>
        <w:rPr>
          <w:rFonts w:ascii="宋体" w:eastAsia="宋体" w:hAnsi="宋体"/>
          <w:sz w:val="24"/>
          <w:szCs w:val="24"/>
        </w:rPr>
        <w:t>202</w:t>
      </w:r>
      <w:r>
        <w:rPr>
          <w:rFonts w:ascii="宋体" w:eastAsia="宋体" w:hAnsi="宋体" w:hint="eastAsia"/>
          <w:sz w:val="24"/>
          <w:szCs w:val="24"/>
        </w:rPr>
        <w:t>4</w:t>
      </w:r>
      <w:r>
        <w:rPr>
          <w:rFonts w:ascii="宋体" w:eastAsia="宋体" w:hAnsi="宋体"/>
          <w:sz w:val="24"/>
          <w:szCs w:val="24"/>
        </w:rPr>
        <w:t>年</w:t>
      </w:r>
      <w:r>
        <w:rPr>
          <w:rFonts w:ascii="宋体" w:eastAsia="宋体" w:hAnsi="宋体" w:hint="eastAsia"/>
          <w:sz w:val="24"/>
          <w:szCs w:val="24"/>
        </w:rPr>
        <w:t>2</w:t>
      </w:r>
      <w:r>
        <w:rPr>
          <w:rFonts w:ascii="宋体" w:eastAsia="宋体" w:hAnsi="宋体"/>
          <w:sz w:val="24"/>
          <w:szCs w:val="24"/>
        </w:rPr>
        <w:t>月间，收集了</w:t>
      </w:r>
      <w:r>
        <w:rPr>
          <w:rFonts w:ascii="宋体" w:eastAsia="宋体" w:hAnsi="宋体" w:hint="eastAsia"/>
          <w:sz w:val="24"/>
          <w:szCs w:val="24"/>
        </w:rPr>
        <w:t>各行业关于硒的检测原理及方法。</w:t>
      </w:r>
    </w:p>
    <w:p w:rsidR="00B61E7A" w:rsidRDefault="000A50C9">
      <w:pPr>
        <w:spacing w:line="360" w:lineRule="auto"/>
        <w:ind w:firstLineChars="200" w:firstLine="480"/>
        <w:rPr>
          <w:rFonts w:ascii="宋体" w:eastAsia="宋体" w:hAnsi="宋体"/>
          <w:sz w:val="24"/>
          <w:szCs w:val="24"/>
        </w:rPr>
      </w:pPr>
      <w:r>
        <w:rPr>
          <w:rFonts w:ascii="宋体" w:eastAsia="宋体" w:hAnsi="宋体"/>
          <w:sz w:val="24"/>
          <w:szCs w:val="24"/>
        </w:rPr>
        <w:t>202</w:t>
      </w:r>
      <w:r>
        <w:rPr>
          <w:rFonts w:ascii="宋体" w:eastAsia="宋体" w:hAnsi="宋体" w:hint="eastAsia"/>
          <w:sz w:val="24"/>
          <w:szCs w:val="24"/>
        </w:rPr>
        <w:t>4年3</w:t>
      </w:r>
      <w:r>
        <w:rPr>
          <w:rFonts w:ascii="宋体" w:eastAsia="宋体" w:hAnsi="宋体"/>
          <w:sz w:val="24"/>
          <w:szCs w:val="24"/>
        </w:rPr>
        <w:t>月至202</w:t>
      </w:r>
      <w:r>
        <w:rPr>
          <w:rFonts w:ascii="宋体" w:eastAsia="宋体" w:hAnsi="宋体" w:hint="eastAsia"/>
          <w:sz w:val="24"/>
          <w:szCs w:val="24"/>
        </w:rPr>
        <w:t>4年12月组织本标准项目起草人，以交流、技术咨询等方式对产品中硒的状态展开调研。并根据深度调研结果，进行食用盐及卤水中总硒、有机硒、无机硒含量检测方法验证，包括微波消解和湿法消解两种方式。通过实验验证，获得最为合理的食用盐及卤水中总硒、有机硒、无机硒含量检测方法。</w:t>
      </w:r>
    </w:p>
    <w:p w:rsidR="00B61E7A" w:rsidRDefault="000A50C9">
      <w:pPr>
        <w:spacing w:line="360" w:lineRule="auto"/>
        <w:ind w:firstLineChars="200" w:firstLine="480"/>
        <w:rPr>
          <w:rFonts w:ascii="宋体" w:eastAsia="宋体" w:hAnsi="宋体"/>
          <w:sz w:val="24"/>
          <w:szCs w:val="24"/>
        </w:rPr>
      </w:pPr>
      <w:r>
        <w:rPr>
          <w:rFonts w:ascii="宋体" w:eastAsia="宋体" w:hAnsi="宋体"/>
          <w:sz w:val="24"/>
          <w:szCs w:val="24"/>
        </w:rPr>
        <w:t>202</w:t>
      </w:r>
      <w:r>
        <w:rPr>
          <w:rFonts w:ascii="宋体" w:eastAsia="宋体" w:hAnsi="宋体" w:hint="eastAsia"/>
          <w:sz w:val="24"/>
          <w:szCs w:val="24"/>
        </w:rPr>
        <w:t>5年1月至</w:t>
      </w:r>
      <w:r>
        <w:rPr>
          <w:rFonts w:ascii="宋体" w:eastAsia="宋体" w:hAnsi="宋体"/>
          <w:sz w:val="24"/>
          <w:szCs w:val="24"/>
        </w:rPr>
        <w:t>202</w:t>
      </w:r>
      <w:r>
        <w:rPr>
          <w:rFonts w:ascii="宋体" w:eastAsia="宋体" w:hAnsi="宋体" w:hint="eastAsia"/>
          <w:sz w:val="24"/>
          <w:szCs w:val="24"/>
        </w:rPr>
        <w:t>5年4月由标准化人员组成的标准起草工作组</w:t>
      </w:r>
      <w:r>
        <w:rPr>
          <w:rFonts w:ascii="宋体" w:eastAsia="宋体" w:hAnsi="宋体"/>
          <w:sz w:val="24"/>
          <w:szCs w:val="24"/>
        </w:rPr>
        <w:t>,</w:t>
      </w:r>
      <w:r>
        <w:rPr>
          <w:rFonts w:ascii="宋体" w:eastAsia="宋体" w:hAnsi="宋体" w:hint="eastAsia"/>
          <w:sz w:val="24"/>
          <w:szCs w:val="24"/>
        </w:rPr>
        <w:t>对验证数据进行了归纳、整理和讨论，邀请专家对标准及编制说明提出修改意见，形成标准征求意见稿。</w:t>
      </w:r>
    </w:p>
    <w:p w:rsidR="00C039D0" w:rsidRPr="00FB6A8C" w:rsidRDefault="00C039D0" w:rsidP="00C039D0">
      <w:pPr>
        <w:spacing w:line="360" w:lineRule="auto"/>
        <w:ind w:firstLineChars="200" w:firstLine="482"/>
        <w:rPr>
          <w:rFonts w:ascii="宋体" w:eastAsia="宋体" w:hAnsi="宋体"/>
          <w:b/>
          <w:sz w:val="24"/>
          <w:szCs w:val="24"/>
        </w:rPr>
      </w:pPr>
      <w:r w:rsidRPr="00FB6A8C">
        <w:rPr>
          <w:rFonts w:ascii="宋体" w:eastAsia="宋体" w:hAnsi="宋体" w:hint="eastAsia"/>
          <w:b/>
          <w:sz w:val="24"/>
          <w:szCs w:val="24"/>
        </w:rPr>
        <w:t>2</w:t>
      </w:r>
      <w:r w:rsidRPr="00FB6A8C">
        <w:rPr>
          <w:rFonts w:ascii="宋体" w:eastAsia="宋体" w:hAnsi="宋体"/>
          <w:b/>
          <w:sz w:val="24"/>
          <w:szCs w:val="24"/>
        </w:rPr>
        <w:t>.2征求意见阶段</w:t>
      </w:r>
    </w:p>
    <w:p w:rsidR="00C039D0" w:rsidRDefault="00C039D0" w:rsidP="00C039D0">
      <w:pPr>
        <w:spacing w:line="360" w:lineRule="auto"/>
        <w:ind w:firstLineChars="200" w:firstLine="480"/>
        <w:rPr>
          <w:rFonts w:ascii="宋体" w:eastAsia="宋体" w:hAnsi="宋体"/>
          <w:sz w:val="24"/>
          <w:szCs w:val="24"/>
        </w:rPr>
      </w:pPr>
      <w:r>
        <w:rPr>
          <w:rFonts w:ascii="宋体" w:eastAsia="宋体" w:hAnsi="宋体"/>
          <w:sz w:val="24"/>
          <w:szCs w:val="24"/>
        </w:rPr>
        <w:t>行业标准的草案初稿形成后，该草案初稿经过讨论</w:t>
      </w:r>
      <w:r>
        <w:rPr>
          <w:rFonts w:ascii="宋体" w:eastAsia="宋体" w:hAnsi="宋体" w:hint="eastAsia"/>
          <w:sz w:val="24"/>
          <w:szCs w:val="24"/>
        </w:rPr>
        <w:t>和</w:t>
      </w:r>
      <w:r w:rsidRPr="00FB6A8C">
        <w:rPr>
          <w:rFonts w:ascii="宋体" w:eastAsia="宋体" w:hAnsi="宋体"/>
          <w:sz w:val="24"/>
          <w:szCs w:val="24"/>
        </w:rPr>
        <w:t>修改，形成了标准的征求意见稿，报全国盐业标准化技术委员会开始公开征求意见。</w:t>
      </w:r>
    </w:p>
    <w:p w:rsidR="00043EEB" w:rsidRPr="00043EEB" w:rsidRDefault="00043EEB" w:rsidP="00043EEB">
      <w:pPr>
        <w:spacing w:line="360" w:lineRule="auto"/>
        <w:ind w:firstLineChars="200" w:firstLine="482"/>
        <w:rPr>
          <w:rFonts w:ascii="宋体" w:eastAsia="宋体" w:hAnsi="宋体"/>
          <w:b/>
          <w:sz w:val="24"/>
          <w:szCs w:val="24"/>
        </w:rPr>
      </w:pPr>
      <w:r w:rsidRPr="00043EEB">
        <w:rPr>
          <w:rFonts w:ascii="宋体" w:eastAsia="宋体" w:hAnsi="宋体"/>
          <w:b/>
          <w:sz w:val="24"/>
          <w:szCs w:val="24"/>
        </w:rPr>
        <w:lastRenderedPageBreak/>
        <w:t>2.3主要参加单位</w:t>
      </w:r>
    </w:p>
    <w:p w:rsidR="00043EEB" w:rsidRPr="00043EEB" w:rsidRDefault="00043EEB" w:rsidP="00043EEB">
      <w:pPr>
        <w:spacing w:line="360" w:lineRule="auto"/>
        <w:ind w:firstLineChars="200" w:firstLine="480"/>
        <w:rPr>
          <w:rFonts w:ascii="宋体" w:eastAsia="宋体" w:hAnsi="宋体" w:hint="eastAsia"/>
          <w:sz w:val="24"/>
          <w:szCs w:val="24"/>
        </w:rPr>
      </w:pPr>
      <w:r w:rsidRPr="00043EEB">
        <w:rPr>
          <w:rFonts w:ascii="宋体" w:eastAsia="宋体" w:hAnsi="宋体" w:hint="eastAsia"/>
          <w:sz w:val="24"/>
          <w:szCs w:val="24"/>
        </w:rPr>
        <w:t>本标准由</w:t>
      </w:r>
      <w:r w:rsidRPr="00043EEB">
        <w:rPr>
          <w:rFonts w:ascii="宋体" w:eastAsia="宋体" w:hAnsi="宋体" w:hint="eastAsia"/>
          <w:sz w:val="24"/>
          <w:szCs w:val="24"/>
        </w:rPr>
        <w:t>国盐检测（天津）有限责任公司、浙江省盐业股份有限公司、江苏苏盐井神股份有限公司、和布克赛尔蒙古自治县宏达盐业有限责任公司、重庆合川盐化工业有限公司、山东岱岳制盐有限公司、浙江绿海制盐有限责任公司</w:t>
      </w:r>
      <w:bookmarkStart w:id="0" w:name="_GoBack"/>
      <w:bookmarkEnd w:id="0"/>
      <w:r w:rsidRPr="00043EEB">
        <w:rPr>
          <w:rFonts w:ascii="宋体" w:eastAsia="宋体" w:hAnsi="宋体" w:hint="eastAsia"/>
          <w:sz w:val="24"/>
          <w:szCs w:val="24"/>
        </w:rPr>
        <w:t>共同起草。</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二、标准编制原则和主要内容</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（一）标准编制原则</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本标准是按照</w:t>
      </w:r>
      <w:r>
        <w:rPr>
          <w:rFonts w:ascii="宋体" w:eastAsia="宋体" w:hAnsi="宋体"/>
          <w:sz w:val="24"/>
          <w:szCs w:val="24"/>
        </w:rPr>
        <w:t>GB/T 1.1-2020《标准化工作导则 第1部分：标准化文件的结构和起草规则》给出的规则起草。</w:t>
      </w:r>
      <w:r>
        <w:rPr>
          <w:rFonts w:ascii="宋体" w:eastAsia="宋体" w:hAnsi="宋体" w:hint="eastAsia"/>
          <w:sz w:val="24"/>
          <w:szCs w:val="24"/>
        </w:rPr>
        <w:t>符合盐业企业发展的原则，有利于促进技术进步；有利于提高产品质量；遵循科学性、先进性、统一性的原则。</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（二）标准制订的主要技术内容说明</w:t>
      </w:r>
    </w:p>
    <w:p w:rsidR="00B61E7A" w:rsidRDefault="000A50C9">
      <w:pPr>
        <w:spacing w:line="360" w:lineRule="auto"/>
        <w:ind w:firstLineChars="200" w:firstLine="480"/>
        <w:rPr>
          <w:rFonts w:ascii="宋体" w:eastAsia="宋体" w:hAnsi="宋体"/>
          <w:sz w:val="24"/>
          <w:szCs w:val="24"/>
        </w:rPr>
      </w:pPr>
      <w:r>
        <w:rPr>
          <w:rFonts w:ascii="宋体" w:eastAsia="宋体" w:hAnsi="宋体"/>
          <w:sz w:val="24"/>
          <w:szCs w:val="24"/>
        </w:rPr>
        <w:t>食用盐</w:t>
      </w:r>
      <w:r>
        <w:rPr>
          <w:rFonts w:ascii="宋体" w:eastAsia="宋体" w:hAnsi="宋体" w:hint="eastAsia"/>
          <w:sz w:val="24"/>
          <w:szCs w:val="24"/>
        </w:rPr>
        <w:t>及卤水</w:t>
      </w:r>
      <w:r>
        <w:rPr>
          <w:rFonts w:ascii="宋体" w:eastAsia="宋体" w:hAnsi="宋体"/>
          <w:sz w:val="24"/>
          <w:szCs w:val="24"/>
        </w:rPr>
        <w:t>中硒含量</w:t>
      </w:r>
      <w:r>
        <w:rPr>
          <w:rFonts w:ascii="宋体" w:eastAsia="宋体" w:hAnsi="宋体" w:hint="eastAsia"/>
          <w:sz w:val="24"/>
          <w:szCs w:val="24"/>
        </w:rPr>
        <w:t>指标</w:t>
      </w:r>
      <w:r>
        <w:rPr>
          <w:rFonts w:ascii="宋体" w:eastAsia="宋体" w:hAnsi="宋体"/>
          <w:sz w:val="24"/>
          <w:szCs w:val="24"/>
        </w:rPr>
        <w:t>有总硒</w:t>
      </w:r>
      <w:r>
        <w:rPr>
          <w:rFonts w:ascii="宋体" w:eastAsia="宋体" w:hAnsi="宋体" w:hint="eastAsia"/>
          <w:sz w:val="24"/>
          <w:szCs w:val="24"/>
        </w:rPr>
        <w:t>、有机硒、无机硒的几种形式。本标准描述了盐产品及卤水总硒、无机硒、有机硒含量的检验方法。适用于盐产品及卤水中总硒、无机硒、有机硒的测定。</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设计的样品测定过程，添加基底溶液以排除高盐体系对检测结果的影响。总硒检测时的样品前处理采用两种消解方式进行，以适用于各生产企业实验室检测条件。样品经处理后，总硒及无机硒均采用氢化物发生原子荧光光谱法检测。有机硒通过总硒与无机硒含量差值获得。</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（三）解决的主要问题</w:t>
      </w:r>
    </w:p>
    <w:p w:rsidR="00B61E7A" w:rsidRDefault="000A50C9">
      <w:pPr>
        <w:spacing w:line="360" w:lineRule="auto"/>
        <w:ind w:firstLineChars="200" w:firstLine="480"/>
        <w:rPr>
          <w:rFonts w:ascii="宋体" w:eastAsia="宋体" w:hAnsi="宋体"/>
          <w:sz w:val="24"/>
          <w:szCs w:val="24"/>
        </w:rPr>
      </w:pPr>
      <w:r>
        <w:rPr>
          <w:rFonts w:ascii="宋体" w:eastAsia="宋体" w:hAnsi="宋体"/>
          <w:sz w:val="24"/>
          <w:szCs w:val="24"/>
        </w:rPr>
        <w:t>通过本文件的研究，</w:t>
      </w:r>
      <w:r>
        <w:rPr>
          <w:rFonts w:ascii="宋体" w:eastAsia="宋体" w:hAnsi="宋体" w:hint="eastAsia"/>
          <w:sz w:val="24"/>
          <w:szCs w:val="24"/>
        </w:rPr>
        <w:t>确定富硒或含硒</w:t>
      </w:r>
      <w:r>
        <w:rPr>
          <w:rFonts w:ascii="宋体" w:eastAsia="宋体" w:hAnsi="宋体"/>
          <w:sz w:val="24"/>
          <w:szCs w:val="24"/>
        </w:rPr>
        <w:t>盐产品</w:t>
      </w:r>
      <w:r>
        <w:rPr>
          <w:rFonts w:ascii="宋体" w:eastAsia="宋体" w:hAnsi="宋体" w:hint="eastAsia"/>
          <w:sz w:val="24"/>
          <w:szCs w:val="24"/>
        </w:rPr>
        <w:t>及卤水中总硒、有机硒、无机硒含量的</w:t>
      </w:r>
      <w:r>
        <w:rPr>
          <w:rFonts w:ascii="宋体" w:eastAsia="宋体" w:hAnsi="宋体"/>
          <w:sz w:val="24"/>
          <w:szCs w:val="24"/>
        </w:rPr>
        <w:t>检测方法。运用规范而统一的检测方法进行</w:t>
      </w:r>
      <w:r>
        <w:rPr>
          <w:rFonts w:ascii="宋体" w:eastAsia="宋体" w:hAnsi="宋体" w:hint="eastAsia"/>
          <w:sz w:val="24"/>
          <w:szCs w:val="24"/>
        </w:rPr>
        <w:t>测定</w:t>
      </w:r>
      <w:r>
        <w:rPr>
          <w:rFonts w:ascii="宋体" w:eastAsia="宋体" w:hAnsi="宋体"/>
          <w:sz w:val="24"/>
          <w:szCs w:val="24"/>
        </w:rPr>
        <w:t>，得到的检测结果更具科学可靠性。</w:t>
      </w:r>
      <w:r>
        <w:rPr>
          <w:rFonts w:ascii="宋体" w:eastAsia="宋体" w:hAnsi="宋体" w:hint="eastAsia"/>
          <w:sz w:val="24"/>
          <w:szCs w:val="24"/>
        </w:rPr>
        <w:t>生产企业通过使用该标准检测，</w:t>
      </w:r>
      <w:r>
        <w:rPr>
          <w:rFonts w:ascii="宋体" w:eastAsia="宋体" w:hAnsi="宋体"/>
          <w:sz w:val="24"/>
          <w:szCs w:val="24"/>
        </w:rPr>
        <w:t>对</w:t>
      </w:r>
      <w:r>
        <w:rPr>
          <w:rFonts w:ascii="宋体" w:eastAsia="宋体" w:hAnsi="宋体" w:hint="eastAsia"/>
          <w:sz w:val="24"/>
          <w:szCs w:val="24"/>
        </w:rPr>
        <w:t>富硒及含硒</w:t>
      </w:r>
      <w:r>
        <w:rPr>
          <w:rFonts w:ascii="宋体" w:eastAsia="宋体" w:hAnsi="宋体"/>
          <w:sz w:val="24"/>
          <w:szCs w:val="24"/>
        </w:rPr>
        <w:t>盐产品</w:t>
      </w:r>
      <w:r>
        <w:rPr>
          <w:rFonts w:ascii="宋体" w:eastAsia="宋体" w:hAnsi="宋体" w:hint="eastAsia"/>
          <w:sz w:val="24"/>
          <w:szCs w:val="24"/>
        </w:rPr>
        <w:t>和卤水的总硒、有机硒、无机硒含量数据有了充分的掌握，进一步通过展现产品特色卖点，增强其</w:t>
      </w:r>
      <w:r>
        <w:rPr>
          <w:rFonts w:ascii="宋体" w:eastAsia="宋体" w:hAnsi="宋体"/>
          <w:sz w:val="24"/>
          <w:szCs w:val="24"/>
        </w:rPr>
        <w:t>市场竞争力</w:t>
      </w:r>
      <w:r>
        <w:rPr>
          <w:rFonts w:ascii="宋体" w:eastAsia="宋体" w:hAnsi="宋体" w:hint="eastAsia"/>
          <w:sz w:val="24"/>
          <w:szCs w:val="24"/>
        </w:rPr>
        <w:t>，并有效打击假冒伪劣产品。该标准也为监督执法机构提供强有力的标准支持</w:t>
      </w:r>
      <w:r>
        <w:rPr>
          <w:rFonts w:ascii="宋体" w:eastAsia="宋体" w:hAnsi="宋体"/>
          <w:sz w:val="24"/>
          <w:szCs w:val="24"/>
        </w:rPr>
        <w:t>。</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三、主要试验（或验证）情况</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1 检出限、定量限</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根据GB/T 27417-2017《化学分析方法确认和验证指南》，本标准采用校准方程的适用范围评估检出限。根据校准方程的截距及仪器响应的标准偏差计算检</w:t>
      </w:r>
      <w:r>
        <w:rPr>
          <w:rFonts w:ascii="宋体" w:eastAsia="宋体" w:hAnsi="宋体" w:hint="eastAsia"/>
          <w:sz w:val="24"/>
          <w:szCs w:val="24"/>
        </w:rPr>
        <w:lastRenderedPageBreak/>
        <w:t>出限。计算出检出限为0.031μg/L，结果见表1。同时标准起草工作组向空白样品中加入0.05μg/L、0.10μg/L、0.25μg/L、0.50μg/L、1.00μg/L浓度的硒，对每一个浓度点进行7次独立测试，获相对标准偏差，结果见表2。通过标准偏差数值比较，浓度越低标准偏差越大。其中0.05μg/L和0.10μg/L两个点标准偏差与GB/T 27417-2017的实验室内变异系数比较，虽然均可满足，但考虑到各生产企业实验室及三方检测机构的原子荧光光谱仪型号不同、精密度亦不同，将检出限定为0.10μg/L。样品检测过程为称取2.5g或体积2.5mL卤水样品，定容至25mL比色管中，所以方法检出限为1μg/kg或1μg/L。</w:t>
      </w:r>
    </w:p>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表1 校准方程评估检出限数据</w:t>
      </w:r>
    </w:p>
    <w:tbl>
      <w:tblPr>
        <w:tblStyle w:val="a5"/>
        <w:tblW w:w="8789" w:type="dxa"/>
        <w:tblInd w:w="-289" w:type="dxa"/>
        <w:tblLayout w:type="fixed"/>
        <w:tblLook w:val="04A0" w:firstRow="1" w:lastRow="0" w:firstColumn="1" w:lastColumn="0" w:noHBand="0" w:noVBand="1"/>
      </w:tblPr>
      <w:tblGrid>
        <w:gridCol w:w="1844"/>
        <w:gridCol w:w="1134"/>
        <w:gridCol w:w="1181"/>
        <w:gridCol w:w="1228"/>
        <w:gridCol w:w="1134"/>
        <w:gridCol w:w="1110"/>
        <w:gridCol w:w="1158"/>
      </w:tblGrid>
      <w:tr w:rsidR="00B61E7A">
        <w:tc>
          <w:tcPr>
            <w:tcW w:w="1844" w:type="dxa"/>
            <w:tcBorders>
              <w:top w:val="single" w:sz="12" w:space="0" w:color="000000"/>
              <w:left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浓度（μg/L）</w:t>
            </w:r>
          </w:p>
        </w:tc>
        <w:tc>
          <w:tcPr>
            <w:tcW w:w="1134" w:type="dxa"/>
            <w:tcBorders>
              <w:top w:val="single" w:sz="12" w:space="0" w:color="000000"/>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0</w:t>
            </w:r>
          </w:p>
        </w:tc>
        <w:tc>
          <w:tcPr>
            <w:tcW w:w="1181"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w:t>
            </w:r>
          </w:p>
        </w:tc>
        <w:tc>
          <w:tcPr>
            <w:tcW w:w="1228"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2</w:t>
            </w:r>
          </w:p>
        </w:tc>
        <w:tc>
          <w:tcPr>
            <w:tcW w:w="1134"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5</w:t>
            </w:r>
          </w:p>
        </w:tc>
        <w:tc>
          <w:tcPr>
            <w:tcW w:w="1110"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10</w:t>
            </w:r>
          </w:p>
        </w:tc>
        <w:tc>
          <w:tcPr>
            <w:tcW w:w="1158"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20</w:t>
            </w:r>
          </w:p>
        </w:tc>
      </w:tr>
      <w:tr w:rsidR="00B61E7A">
        <w:tc>
          <w:tcPr>
            <w:tcW w:w="1844" w:type="dxa"/>
            <w:tcBorders>
              <w:left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强度</w:t>
            </w:r>
          </w:p>
        </w:tc>
        <w:tc>
          <w:tcPr>
            <w:tcW w:w="1134" w:type="dxa"/>
            <w:tcBorders>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0</w:t>
            </w:r>
          </w:p>
        </w:tc>
        <w:tc>
          <w:tcPr>
            <w:tcW w:w="1181"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131.315</w:t>
            </w:r>
          </w:p>
        </w:tc>
        <w:tc>
          <w:tcPr>
            <w:tcW w:w="122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274.415</w:t>
            </w:r>
          </w:p>
        </w:tc>
        <w:tc>
          <w:tcPr>
            <w:tcW w:w="1134"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733.432</w:t>
            </w:r>
          </w:p>
        </w:tc>
        <w:tc>
          <w:tcPr>
            <w:tcW w:w="1110"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1504.947</w:t>
            </w:r>
          </w:p>
        </w:tc>
        <w:tc>
          <w:tcPr>
            <w:tcW w:w="1158" w:type="dxa"/>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3041.415</w:t>
            </w:r>
          </w:p>
        </w:tc>
      </w:tr>
      <w:tr w:rsidR="00B61E7A">
        <w:tc>
          <w:tcPr>
            <w:tcW w:w="1844" w:type="dxa"/>
            <w:tcBorders>
              <w:left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曲线</w:t>
            </w:r>
          </w:p>
        </w:tc>
        <w:tc>
          <w:tcPr>
            <w:tcW w:w="3543" w:type="dxa"/>
            <w:gridSpan w:val="3"/>
            <w:tcBorders>
              <w:left w:val="single" w:sz="12" w:space="0" w:color="000000"/>
              <w:bottom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sz w:val="24"/>
                <w:szCs w:val="24"/>
              </w:rPr>
              <w:t>y=152.82x-20.291</w:t>
            </w:r>
            <w:r>
              <w:rPr>
                <w:rFonts w:ascii="宋体" w:eastAsia="宋体" w:hAnsi="宋体" w:hint="eastAsia"/>
                <w:sz w:val="24"/>
                <w:szCs w:val="24"/>
              </w:rPr>
              <w:t>（R</w:t>
            </w:r>
            <w:r>
              <w:rPr>
                <w:rFonts w:ascii="宋体" w:eastAsia="宋体" w:hAnsi="宋体" w:hint="eastAsia"/>
                <w:sz w:val="24"/>
                <w:szCs w:val="24"/>
                <w:vertAlign w:val="superscript"/>
              </w:rPr>
              <w:t>2</w:t>
            </w:r>
            <w:r>
              <w:rPr>
                <w:rFonts w:ascii="宋体" w:eastAsia="宋体" w:hAnsi="宋体" w:hint="eastAsia"/>
                <w:sz w:val="24"/>
                <w:szCs w:val="24"/>
              </w:rPr>
              <w:t>=9999）</w:t>
            </w:r>
          </w:p>
        </w:tc>
        <w:tc>
          <w:tcPr>
            <w:tcW w:w="1134" w:type="dxa"/>
            <w:tcBorders>
              <w:bottom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截距</w:t>
            </w:r>
          </w:p>
        </w:tc>
        <w:tc>
          <w:tcPr>
            <w:tcW w:w="2268" w:type="dxa"/>
            <w:gridSpan w:val="2"/>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sz w:val="24"/>
                <w:szCs w:val="24"/>
              </w:rPr>
              <w:t>152.82</w:t>
            </w:r>
          </w:p>
        </w:tc>
      </w:tr>
      <w:tr w:rsidR="00B61E7A">
        <w:tc>
          <w:tcPr>
            <w:tcW w:w="1844" w:type="dxa"/>
            <w:vMerge w:val="restart"/>
            <w:tcBorders>
              <w:top w:val="single" w:sz="12" w:space="0" w:color="000000"/>
              <w:left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11次空白试样强度</w:t>
            </w:r>
          </w:p>
        </w:tc>
        <w:tc>
          <w:tcPr>
            <w:tcW w:w="1134" w:type="dxa"/>
            <w:tcBorders>
              <w:top w:val="single" w:sz="12" w:space="0" w:color="000000"/>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12.743</w:t>
            </w:r>
          </w:p>
        </w:tc>
        <w:tc>
          <w:tcPr>
            <w:tcW w:w="1181"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14.647</w:t>
            </w:r>
          </w:p>
        </w:tc>
        <w:tc>
          <w:tcPr>
            <w:tcW w:w="1228"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14.971</w:t>
            </w:r>
          </w:p>
        </w:tc>
        <w:tc>
          <w:tcPr>
            <w:tcW w:w="1134"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15.893</w:t>
            </w:r>
          </w:p>
        </w:tc>
        <w:tc>
          <w:tcPr>
            <w:tcW w:w="1110"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16.368</w:t>
            </w:r>
          </w:p>
        </w:tc>
        <w:tc>
          <w:tcPr>
            <w:tcW w:w="1158"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15.653</w:t>
            </w:r>
          </w:p>
        </w:tc>
      </w:tr>
      <w:tr w:rsidR="00B61E7A">
        <w:tc>
          <w:tcPr>
            <w:tcW w:w="1844" w:type="dxa"/>
            <w:vMerge/>
            <w:tcBorders>
              <w:left w:val="single" w:sz="12" w:space="0" w:color="000000"/>
              <w:right w:val="single" w:sz="12" w:space="0" w:color="000000"/>
            </w:tcBorders>
            <w:vAlign w:val="center"/>
          </w:tcPr>
          <w:p w:rsidR="00B61E7A" w:rsidRDefault="00B61E7A">
            <w:pPr>
              <w:spacing w:line="360" w:lineRule="auto"/>
              <w:jc w:val="center"/>
              <w:rPr>
                <w:rFonts w:ascii="宋体" w:eastAsia="宋体" w:hAnsi="宋体"/>
                <w:sz w:val="24"/>
                <w:szCs w:val="24"/>
              </w:rPr>
            </w:pPr>
          </w:p>
        </w:tc>
        <w:tc>
          <w:tcPr>
            <w:tcW w:w="1134" w:type="dxa"/>
            <w:tcBorders>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16.812</w:t>
            </w:r>
          </w:p>
        </w:tc>
        <w:tc>
          <w:tcPr>
            <w:tcW w:w="1181"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17.706</w:t>
            </w:r>
          </w:p>
        </w:tc>
        <w:tc>
          <w:tcPr>
            <w:tcW w:w="122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17.966</w:t>
            </w:r>
          </w:p>
        </w:tc>
        <w:tc>
          <w:tcPr>
            <w:tcW w:w="1134"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16.959</w:t>
            </w:r>
          </w:p>
        </w:tc>
        <w:tc>
          <w:tcPr>
            <w:tcW w:w="1110"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17.776</w:t>
            </w:r>
          </w:p>
        </w:tc>
        <w:tc>
          <w:tcPr>
            <w:tcW w:w="1158" w:type="dxa"/>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w:t>
            </w:r>
          </w:p>
        </w:tc>
      </w:tr>
      <w:tr w:rsidR="00B61E7A">
        <w:tc>
          <w:tcPr>
            <w:tcW w:w="1844" w:type="dxa"/>
            <w:tcBorders>
              <w:left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标准偏差</w:t>
            </w:r>
          </w:p>
        </w:tc>
        <w:tc>
          <w:tcPr>
            <w:tcW w:w="6945" w:type="dxa"/>
            <w:gridSpan w:val="6"/>
            <w:tcBorders>
              <w:left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1.583</w:t>
            </w:r>
          </w:p>
        </w:tc>
      </w:tr>
      <w:tr w:rsidR="00B61E7A">
        <w:tc>
          <w:tcPr>
            <w:tcW w:w="1844" w:type="dxa"/>
            <w:tcBorders>
              <w:top w:val="single" w:sz="12" w:space="0" w:color="000000"/>
              <w:left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检出限</w:t>
            </w:r>
          </w:p>
        </w:tc>
        <w:tc>
          <w:tcPr>
            <w:tcW w:w="6945" w:type="dxa"/>
            <w:gridSpan w:val="6"/>
            <w:tcBorders>
              <w:top w:val="single" w:sz="12" w:space="0" w:color="000000"/>
              <w:left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3×标准偏差/截距=3*1.583/152.82=0.031μg/L</w:t>
            </w:r>
          </w:p>
        </w:tc>
      </w:tr>
    </w:tbl>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表2 检出限可靠性印证数据</w:t>
      </w:r>
    </w:p>
    <w:tbl>
      <w:tblPr>
        <w:tblStyle w:val="a5"/>
        <w:tblW w:w="0" w:type="auto"/>
        <w:tblLook w:val="04A0" w:firstRow="1" w:lastRow="0" w:firstColumn="1" w:lastColumn="0" w:noHBand="0" w:noVBand="1"/>
      </w:tblPr>
      <w:tblGrid>
        <w:gridCol w:w="2068"/>
        <w:gridCol w:w="2070"/>
        <w:gridCol w:w="2070"/>
        <w:gridCol w:w="2068"/>
      </w:tblGrid>
      <w:tr w:rsidR="00B61E7A">
        <w:trPr>
          <w:tblHeader/>
        </w:trPr>
        <w:tc>
          <w:tcPr>
            <w:tcW w:w="2074" w:type="dxa"/>
            <w:tcBorders>
              <w:top w:val="single" w:sz="12" w:space="0" w:color="000000"/>
              <w:left w:val="single" w:sz="12" w:space="0" w:color="000000"/>
              <w:bottom w:val="single" w:sz="12" w:space="0" w:color="000000"/>
            </w:tcBorders>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浓度（μg/L）</w:t>
            </w:r>
          </w:p>
        </w:tc>
        <w:tc>
          <w:tcPr>
            <w:tcW w:w="2074" w:type="dxa"/>
            <w:tcBorders>
              <w:top w:val="single" w:sz="12" w:space="0" w:color="000000"/>
              <w:bottom w:val="single" w:sz="12" w:space="0" w:color="000000"/>
            </w:tcBorders>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强度</w:t>
            </w:r>
          </w:p>
        </w:tc>
        <w:tc>
          <w:tcPr>
            <w:tcW w:w="2074" w:type="dxa"/>
            <w:tcBorders>
              <w:top w:val="single" w:sz="12" w:space="0" w:color="000000"/>
              <w:bottom w:val="single" w:sz="12" w:space="0" w:color="000000"/>
            </w:tcBorders>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平均值</w:t>
            </w:r>
          </w:p>
        </w:tc>
        <w:tc>
          <w:tcPr>
            <w:tcW w:w="2074" w:type="dxa"/>
            <w:tcBorders>
              <w:top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相对标准偏差</w:t>
            </w:r>
          </w:p>
        </w:tc>
      </w:tr>
      <w:tr w:rsidR="00B61E7A">
        <w:tc>
          <w:tcPr>
            <w:tcW w:w="2074" w:type="dxa"/>
            <w:tcBorders>
              <w:top w:val="single" w:sz="12" w:space="0" w:color="000000"/>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0.05</w:t>
            </w:r>
          </w:p>
        </w:tc>
        <w:tc>
          <w:tcPr>
            <w:tcW w:w="2074" w:type="dxa"/>
            <w:tcBorders>
              <w:top w:val="single" w:sz="12" w:space="0" w:color="000000"/>
            </w:tcBorders>
            <w:vAlign w:val="center"/>
          </w:tcPr>
          <w:p w:rsidR="00B61E7A" w:rsidRDefault="000A50C9">
            <w:pPr>
              <w:jc w:val="center"/>
              <w:rPr>
                <w:rFonts w:ascii="宋体" w:eastAsia="宋体" w:hAnsi="宋体"/>
                <w:sz w:val="24"/>
                <w:szCs w:val="24"/>
              </w:rPr>
            </w:pPr>
            <w:r>
              <w:rPr>
                <w:rFonts w:ascii="宋体" w:eastAsia="宋体" w:hAnsi="宋体" w:hint="eastAsia"/>
                <w:sz w:val="24"/>
                <w:szCs w:val="24"/>
              </w:rPr>
              <w:t>4.367</w:t>
            </w:r>
          </w:p>
          <w:p w:rsidR="00B61E7A" w:rsidRDefault="000A50C9">
            <w:pPr>
              <w:jc w:val="center"/>
              <w:rPr>
                <w:rFonts w:ascii="宋体" w:eastAsia="宋体" w:hAnsi="宋体"/>
                <w:sz w:val="24"/>
                <w:szCs w:val="24"/>
              </w:rPr>
            </w:pPr>
            <w:r>
              <w:rPr>
                <w:rFonts w:ascii="宋体" w:eastAsia="宋体" w:hAnsi="宋体" w:hint="eastAsia"/>
                <w:sz w:val="24"/>
                <w:szCs w:val="24"/>
              </w:rPr>
              <w:t>8.510</w:t>
            </w:r>
          </w:p>
          <w:p w:rsidR="00B61E7A" w:rsidRDefault="000A50C9">
            <w:pPr>
              <w:jc w:val="center"/>
              <w:rPr>
                <w:rFonts w:ascii="宋体" w:eastAsia="宋体" w:hAnsi="宋体"/>
                <w:sz w:val="24"/>
                <w:szCs w:val="24"/>
              </w:rPr>
            </w:pPr>
            <w:r>
              <w:rPr>
                <w:rFonts w:ascii="宋体" w:eastAsia="宋体" w:hAnsi="宋体" w:hint="eastAsia"/>
                <w:sz w:val="24"/>
                <w:szCs w:val="24"/>
              </w:rPr>
              <w:t>3.453</w:t>
            </w:r>
          </w:p>
          <w:p w:rsidR="00B61E7A" w:rsidRDefault="000A50C9">
            <w:pPr>
              <w:jc w:val="center"/>
              <w:rPr>
                <w:rFonts w:ascii="宋体" w:eastAsia="宋体" w:hAnsi="宋体"/>
                <w:sz w:val="24"/>
                <w:szCs w:val="24"/>
              </w:rPr>
            </w:pPr>
            <w:r>
              <w:rPr>
                <w:rFonts w:ascii="宋体" w:eastAsia="宋体" w:hAnsi="宋体" w:hint="eastAsia"/>
                <w:sz w:val="24"/>
                <w:szCs w:val="24"/>
              </w:rPr>
              <w:t>7.986</w:t>
            </w:r>
          </w:p>
          <w:p w:rsidR="00B61E7A" w:rsidRDefault="000A50C9">
            <w:pPr>
              <w:jc w:val="center"/>
              <w:rPr>
                <w:rFonts w:ascii="宋体" w:eastAsia="宋体" w:hAnsi="宋体"/>
                <w:sz w:val="24"/>
                <w:szCs w:val="24"/>
              </w:rPr>
            </w:pPr>
            <w:r>
              <w:rPr>
                <w:rFonts w:ascii="宋体" w:eastAsia="宋体" w:hAnsi="宋体" w:hint="eastAsia"/>
                <w:sz w:val="24"/>
                <w:szCs w:val="24"/>
              </w:rPr>
              <w:t>5.398</w:t>
            </w:r>
          </w:p>
          <w:p w:rsidR="00B61E7A" w:rsidRDefault="000A50C9">
            <w:pPr>
              <w:jc w:val="center"/>
              <w:rPr>
                <w:rFonts w:ascii="宋体" w:eastAsia="宋体" w:hAnsi="宋体"/>
                <w:sz w:val="24"/>
                <w:szCs w:val="24"/>
              </w:rPr>
            </w:pPr>
            <w:r>
              <w:rPr>
                <w:rFonts w:ascii="宋体" w:eastAsia="宋体" w:hAnsi="宋体" w:hint="eastAsia"/>
                <w:sz w:val="24"/>
                <w:szCs w:val="24"/>
              </w:rPr>
              <w:t>6.975</w:t>
            </w:r>
          </w:p>
          <w:p w:rsidR="00B61E7A" w:rsidRDefault="000A50C9">
            <w:pPr>
              <w:jc w:val="center"/>
              <w:rPr>
                <w:rFonts w:ascii="宋体" w:eastAsia="宋体" w:hAnsi="宋体"/>
                <w:sz w:val="24"/>
                <w:szCs w:val="24"/>
              </w:rPr>
            </w:pPr>
            <w:r>
              <w:rPr>
                <w:rFonts w:ascii="宋体" w:eastAsia="宋体" w:hAnsi="宋体" w:hint="eastAsia"/>
                <w:sz w:val="24"/>
                <w:szCs w:val="24"/>
              </w:rPr>
              <w:t>8.870</w:t>
            </w:r>
          </w:p>
        </w:tc>
        <w:tc>
          <w:tcPr>
            <w:tcW w:w="2074" w:type="dxa"/>
            <w:tcBorders>
              <w:top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6.508</w:t>
            </w:r>
          </w:p>
        </w:tc>
        <w:tc>
          <w:tcPr>
            <w:tcW w:w="2074"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32.7%</w:t>
            </w:r>
          </w:p>
        </w:tc>
      </w:tr>
      <w:tr w:rsidR="00B61E7A">
        <w:tc>
          <w:tcPr>
            <w:tcW w:w="2074" w:type="dxa"/>
            <w:tcBorders>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0.10</w:t>
            </w:r>
          </w:p>
        </w:tc>
        <w:tc>
          <w:tcPr>
            <w:tcW w:w="2074" w:type="dxa"/>
            <w:vAlign w:val="center"/>
          </w:tcPr>
          <w:p w:rsidR="00B61E7A" w:rsidRDefault="000A50C9">
            <w:pPr>
              <w:jc w:val="center"/>
              <w:rPr>
                <w:rFonts w:ascii="宋体" w:eastAsia="宋体" w:hAnsi="宋体"/>
                <w:sz w:val="24"/>
                <w:szCs w:val="24"/>
              </w:rPr>
            </w:pPr>
            <w:r>
              <w:rPr>
                <w:rFonts w:ascii="宋体" w:eastAsia="宋体" w:hAnsi="宋体" w:hint="eastAsia"/>
                <w:sz w:val="24"/>
                <w:szCs w:val="24"/>
              </w:rPr>
              <w:t>14.690</w:t>
            </w:r>
          </w:p>
          <w:p w:rsidR="00B61E7A" w:rsidRDefault="000A50C9">
            <w:pPr>
              <w:jc w:val="center"/>
              <w:rPr>
                <w:rFonts w:ascii="宋体" w:eastAsia="宋体" w:hAnsi="宋体"/>
                <w:sz w:val="24"/>
                <w:szCs w:val="24"/>
              </w:rPr>
            </w:pPr>
            <w:r>
              <w:rPr>
                <w:rFonts w:ascii="宋体" w:eastAsia="宋体" w:hAnsi="宋体" w:hint="eastAsia"/>
                <w:sz w:val="24"/>
                <w:szCs w:val="24"/>
              </w:rPr>
              <w:t>18.905</w:t>
            </w:r>
          </w:p>
          <w:p w:rsidR="00B61E7A" w:rsidRDefault="000A50C9">
            <w:pPr>
              <w:jc w:val="center"/>
              <w:rPr>
                <w:rFonts w:ascii="宋体" w:eastAsia="宋体" w:hAnsi="宋体"/>
                <w:sz w:val="24"/>
                <w:szCs w:val="24"/>
              </w:rPr>
            </w:pPr>
            <w:r>
              <w:rPr>
                <w:rFonts w:ascii="宋体" w:eastAsia="宋体" w:hAnsi="宋体" w:hint="eastAsia"/>
                <w:sz w:val="24"/>
                <w:szCs w:val="24"/>
              </w:rPr>
              <w:t>18.693</w:t>
            </w:r>
          </w:p>
          <w:p w:rsidR="00B61E7A" w:rsidRDefault="000A50C9">
            <w:pPr>
              <w:jc w:val="center"/>
              <w:rPr>
                <w:rFonts w:ascii="宋体" w:eastAsia="宋体" w:hAnsi="宋体"/>
                <w:sz w:val="24"/>
                <w:szCs w:val="24"/>
              </w:rPr>
            </w:pPr>
            <w:r>
              <w:rPr>
                <w:rFonts w:ascii="宋体" w:eastAsia="宋体" w:hAnsi="宋体" w:hint="eastAsia"/>
                <w:sz w:val="24"/>
                <w:szCs w:val="24"/>
              </w:rPr>
              <w:t>16.120</w:t>
            </w:r>
          </w:p>
          <w:p w:rsidR="00B61E7A" w:rsidRDefault="000A50C9">
            <w:pPr>
              <w:jc w:val="center"/>
              <w:rPr>
                <w:rFonts w:ascii="宋体" w:eastAsia="宋体" w:hAnsi="宋体"/>
                <w:sz w:val="24"/>
                <w:szCs w:val="24"/>
              </w:rPr>
            </w:pPr>
            <w:r>
              <w:rPr>
                <w:rFonts w:ascii="宋体" w:eastAsia="宋体" w:hAnsi="宋体" w:hint="eastAsia"/>
                <w:sz w:val="24"/>
                <w:szCs w:val="24"/>
              </w:rPr>
              <w:t>22.445</w:t>
            </w:r>
          </w:p>
          <w:p w:rsidR="00B61E7A" w:rsidRDefault="000A50C9">
            <w:pPr>
              <w:jc w:val="center"/>
              <w:rPr>
                <w:rFonts w:ascii="宋体" w:eastAsia="宋体" w:hAnsi="宋体"/>
                <w:sz w:val="24"/>
                <w:szCs w:val="24"/>
              </w:rPr>
            </w:pPr>
            <w:r>
              <w:rPr>
                <w:rFonts w:ascii="宋体" w:eastAsia="宋体" w:hAnsi="宋体" w:hint="eastAsia"/>
                <w:sz w:val="24"/>
                <w:szCs w:val="24"/>
              </w:rPr>
              <w:t>14.830</w:t>
            </w:r>
          </w:p>
          <w:p w:rsidR="00B61E7A" w:rsidRDefault="000A50C9">
            <w:pPr>
              <w:jc w:val="center"/>
              <w:rPr>
                <w:rFonts w:ascii="宋体" w:eastAsia="宋体" w:hAnsi="宋体"/>
                <w:sz w:val="24"/>
                <w:szCs w:val="24"/>
              </w:rPr>
            </w:pPr>
            <w:r>
              <w:rPr>
                <w:rFonts w:ascii="宋体" w:eastAsia="宋体" w:hAnsi="宋体" w:hint="eastAsia"/>
                <w:sz w:val="24"/>
                <w:szCs w:val="24"/>
              </w:rPr>
              <w:t>23.022</w:t>
            </w:r>
          </w:p>
        </w:tc>
        <w:tc>
          <w:tcPr>
            <w:tcW w:w="2074"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18.386</w:t>
            </w:r>
          </w:p>
        </w:tc>
        <w:tc>
          <w:tcPr>
            <w:tcW w:w="2074" w:type="dxa"/>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18.5%</w:t>
            </w:r>
          </w:p>
        </w:tc>
      </w:tr>
      <w:tr w:rsidR="00B61E7A">
        <w:tc>
          <w:tcPr>
            <w:tcW w:w="2074" w:type="dxa"/>
            <w:tcBorders>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0.25</w:t>
            </w:r>
          </w:p>
        </w:tc>
        <w:tc>
          <w:tcPr>
            <w:tcW w:w="2074" w:type="dxa"/>
            <w:vAlign w:val="center"/>
          </w:tcPr>
          <w:p w:rsidR="00B61E7A" w:rsidRDefault="000A50C9">
            <w:pPr>
              <w:jc w:val="center"/>
              <w:rPr>
                <w:rFonts w:ascii="宋体" w:eastAsia="宋体" w:hAnsi="宋体"/>
                <w:sz w:val="24"/>
                <w:szCs w:val="24"/>
              </w:rPr>
            </w:pPr>
            <w:r>
              <w:rPr>
                <w:rFonts w:ascii="宋体" w:eastAsia="宋体" w:hAnsi="宋体" w:hint="eastAsia"/>
                <w:sz w:val="24"/>
                <w:szCs w:val="24"/>
              </w:rPr>
              <w:t>47.952</w:t>
            </w:r>
          </w:p>
          <w:p w:rsidR="00B61E7A" w:rsidRDefault="000A50C9">
            <w:pPr>
              <w:jc w:val="center"/>
              <w:rPr>
                <w:rFonts w:ascii="宋体" w:eastAsia="宋体" w:hAnsi="宋体"/>
                <w:sz w:val="24"/>
                <w:szCs w:val="24"/>
              </w:rPr>
            </w:pPr>
            <w:r>
              <w:rPr>
                <w:rFonts w:ascii="宋体" w:eastAsia="宋体" w:hAnsi="宋体" w:hint="eastAsia"/>
                <w:sz w:val="24"/>
                <w:szCs w:val="24"/>
              </w:rPr>
              <w:t>45.236</w:t>
            </w:r>
          </w:p>
          <w:p w:rsidR="00B61E7A" w:rsidRDefault="000A50C9">
            <w:pPr>
              <w:jc w:val="center"/>
              <w:rPr>
                <w:rFonts w:ascii="宋体" w:eastAsia="宋体" w:hAnsi="宋体"/>
                <w:sz w:val="24"/>
                <w:szCs w:val="24"/>
              </w:rPr>
            </w:pPr>
            <w:r>
              <w:rPr>
                <w:rFonts w:ascii="宋体" w:eastAsia="宋体" w:hAnsi="宋体" w:hint="eastAsia"/>
                <w:sz w:val="24"/>
                <w:szCs w:val="24"/>
              </w:rPr>
              <w:lastRenderedPageBreak/>
              <w:t>43.584</w:t>
            </w:r>
          </w:p>
          <w:p w:rsidR="00B61E7A" w:rsidRDefault="000A50C9">
            <w:pPr>
              <w:jc w:val="center"/>
              <w:rPr>
                <w:rFonts w:ascii="宋体" w:eastAsia="宋体" w:hAnsi="宋体"/>
                <w:sz w:val="24"/>
                <w:szCs w:val="24"/>
              </w:rPr>
            </w:pPr>
            <w:r>
              <w:rPr>
                <w:rFonts w:ascii="宋体" w:eastAsia="宋体" w:hAnsi="宋体" w:hint="eastAsia"/>
                <w:sz w:val="24"/>
                <w:szCs w:val="24"/>
              </w:rPr>
              <w:t>44.821</w:t>
            </w:r>
          </w:p>
          <w:p w:rsidR="00B61E7A" w:rsidRDefault="000A50C9">
            <w:pPr>
              <w:jc w:val="center"/>
              <w:rPr>
                <w:rFonts w:ascii="宋体" w:eastAsia="宋体" w:hAnsi="宋体"/>
                <w:sz w:val="24"/>
                <w:szCs w:val="24"/>
              </w:rPr>
            </w:pPr>
            <w:r>
              <w:rPr>
                <w:rFonts w:ascii="宋体" w:eastAsia="宋体" w:hAnsi="宋体" w:hint="eastAsia"/>
                <w:sz w:val="24"/>
                <w:szCs w:val="24"/>
              </w:rPr>
              <w:t>42.181</w:t>
            </w:r>
          </w:p>
          <w:p w:rsidR="00B61E7A" w:rsidRDefault="000A50C9">
            <w:pPr>
              <w:jc w:val="center"/>
              <w:rPr>
                <w:rFonts w:ascii="宋体" w:eastAsia="宋体" w:hAnsi="宋体"/>
                <w:sz w:val="24"/>
                <w:szCs w:val="24"/>
              </w:rPr>
            </w:pPr>
            <w:r>
              <w:rPr>
                <w:rFonts w:ascii="宋体" w:eastAsia="宋体" w:hAnsi="宋体" w:hint="eastAsia"/>
                <w:sz w:val="24"/>
                <w:szCs w:val="24"/>
              </w:rPr>
              <w:t>39.681</w:t>
            </w:r>
          </w:p>
          <w:p w:rsidR="00B61E7A" w:rsidRDefault="000A50C9">
            <w:pPr>
              <w:jc w:val="center"/>
              <w:rPr>
                <w:rFonts w:ascii="宋体" w:eastAsia="宋体" w:hAnsi="宋体"/>
                <w:sz w:val="24"/>
                <w:szCs w:val="24"/>
              </w:rPr>
            </w:pPr>
            <w:r>
              <w:rPr>
                <w:rFonts w:ascii="宋体" w:eastAsia="宋体" w:hAnsi="宋体" w:hint="eastAsia"/>
                <w:sz w:val="24"/>
                <w:szCs w:val="24"/>
              </w:rPr>
              <w:t>39.223</w:t>
            </w:r>
          </w:p>
        </w:tc>
        <w:tc>
          <w:tcPr>
            <w:tcW w:w="2074"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lastRenderedPageBreak/>
              <w:t>43.240</w:t>
            </w:r>
          </w:p>
        </w:tc>
        <w:tc>
          <w:tcPr>
            <w:tcW w:w="2074" w:type="dxa"/>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7.2%</w:t>
            </w:r>
          </w:p>
        </w:tc>
      </w:tr>
      <w:tr w:rsidR="00B61E7A">
        <w:tc>
          <w:tcPr>
            <w:tcW w:w="2074" w:type="dxa"/>
            <w:tcBorders>
              <w:lef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0.50</w:t>
            </w:r>
          </w:p>
        </w:tc>
        <w:tc>
          <w:tcPr>
            <w:tcW w:w="2074" w:type="dxa"/>
            <w:vAlign w:val="center"/>
          </w:tcPr>
          <w:p w:rsidR="00B61E7A" w:rsidRDefault="000A50C9">
            <w:pPr>
              <w:jc w:val="center"/>
              <w:rPr>
                <w:rFonts w:ascii="宋体" w:eastAsia="宋体" w:hAnsi="宋体"/>
                <w:sz w:val="24"/>
                <w:szCs w:val="24"/>
              </w:rPr>
            </w:pPr>
            <w:r>
              <w:rPr>
                <w:rFonts w:ascii="宋体" w:eastAsia="宋体" w:hAnsi="宋体" w:hint="eastAsia"/>
                <w:sz w:val="24"/>
                <w:szCs w:val="24"/>
              </w:rPr>
              <w:t>82.810</w:t>
            </w:r>
          </w:p>
          <w:p w:rsidR="00B61E7A" w:rsidRDefault="000A50C9">
            <w:pPr>
              <w:jc w:val="center"/>
              <w:rPr>
                <w:rFonts w:ascii="宋体" w:eastAsia="宋体" w:hAnsi="宋体"/>
                <w:sz w:val="24"/>
                <w:szCs w:val="24"/>
              </w:rPr>
            </w:pPr>
            <w:r>
              <w:rPr>
                <w:rFonts w:ascii="宋体" w:eastAsia="宋体" w:hAnsi="宋体" w:hint="eastAsia"/>
                <w:sz w:val="24"/>
                <w:szCs w:val="24"/>
              </w:rPr>
              <w:t>87.847</w:t>
            </w:r>
          </w:p>
          <w:p w:rsidR="00B61E7A" w:rsidRDefault="000A50C9">
            <w:pPr>
              <w:jc w:val="center"/>
              <w:rPr>
                <w:rFonts w:ascii="宋体" w:eastAsia="宋体" w:hAnsi="宋体"/>
                <w:sz w:val="24"/>
                <w:szCs w:val="24"/>
              </w:rPr>
            </w:pPr>
            <w:r>
              <w:rPr>
                <w:rFonts w:ascii="宋体" w:eastAsia="宋体" w:hAnsi="宋体" w:hint="eastAsia"/>
                <w:sz w:val="24"/>
                <w:szCs w:val="24"/>
              </w:rPr>
              <w:t>84.108</w:t>
            </w:r>
          </w:p>
          <w:p w:rsidR="00B61E7A" w:rsidRDefault="000A50C9">
            <w:pPr>
              <w:jc w:val="center"/>
              <w:rPr>
                <w:rFonts w:ascii="宋体" w:eastAsia="宋体" w:hAnsi="宋体"/>
                <w:sz w:val="24"/>
                <w:szCs w:val="24"/>
              </w:rPr>
            </w:pPr>
            <w:r>
              <w:rPr>
                <w:rFonts w:ascii="宋体" w:eastAsia="宋体" w:hAnsi="宋体" w:hint="eastAsia"/>
                <w:sz w:val="24"/>
                <w:szCs w:val="24"/>
              </w:rPr>
              <w:t>82.155</w:t>
            </w:r>
          </w:p>
          <w:p w:rsidR="00B61E7A" w:rsidRDefault="000A50C9">
            <w:pPr>
              <w:jc w:val="center"/>
              <w:rPr>
                <w:rFonts w:ascii="宋体" w:eastAsia="宋体" w:hAnsi="宋体"/>
                <w:sz w:val="24"/>
                <w:szCs w:val="24"/>
              </w:rPr>
            </w:pPr>
            <w:r>
              <w:rPr>
                <w:rFonts w:ascii="宋体" w:eastAsia="宋体" w:hAnsi="宋体" w:hint="eastAsia"/>
                <w:sz w:val="24"/>
                <w:szCs w:val="24"/>
              </w:rPr>
              <w:t>87.069</w:t>
            </w:r>
          </w:p>
          <w:p w:rsidR="00B61E7A" w:rsidRDefault="000A50C9">
            <w:pPr>
              <w:jc w:val="center"/>
              <w:rPr>
                <w:rFonts w:ascii="宋体" w:eastAsia="宋体" w:hAnsi="宋体"/>
                <w:sz w:val="24"/>
                <w:szCs w:val="24"/>
              </w:rPr>
            </w:pPr>
            <w:r>
              <w:rPr>
                <w:rFonts w:ascii="宋体" w:eastAsia="宋体" w:hAnsi="宋体" w:hint="eastAsia"/>
                <w:sz w:val="24"/>
                <w:szCs w:val="24"/>
              </w:rPr>
              <w:t>87.780</w:t>
            </w:r>
          </w:p>
          <w:p w:rsidR="00B61E7A" w:rsidRDefault="000A50C9">
            <w:pPr>
              <w:jc w:val="center"/>
              <w:rPr>
                <w:rFonts w:ascii="宋体" w:eastAsia="宋体" w:hAnsi="宋体"/>
                <w:sz w:val="24"/>
                <w:szCs w:val="24"/>
              </w:rPr>
            </w:pPr>
            <w:r>
              <w:rPr>
                <w:rFonts w:ascii="宋体" w:eastAsia="宋体" w:hAnsi="宋体" w:hint="eastAsia"/>
                <w:sz w:val="24"/>
                <w:szCs w:val="24"/>
              </w:rPr>
              <w:t>86.298</w:t>
            </w:r>
          </w:p>
        </w:tc>
        <w:tc>
          <w:tcPr>
            <w:tcW w:w="2074"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85.438</w:t>
            </w:r>
          </w:p>
        </w:tc>
        <w:tc>
          <w:tcPr>
            <w:tcW w:w="2074" w:type="dxa"/>
            <w:tcBorders>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2.8%</w:t>
            </w:r>
          </w:p>
        </w:tc>
      </w:tr>
      <w:tr w:rsidR="00B61E7A">
        <w:tc>
          <w:tcPr>
            <w:tcW w:w="2074" w:type="dxa"/>
            <w:tcBorders>
              <w:left w:val="single" w:sz="12" w:space="0" w:color="000000"/>
              <w:bottom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1.00</w:t>
            </w:r>
          </w:p>
        </w:tc>
        <w:tc>
          <w:tcPr>
            <w:tcW w:w="2074" w:type="dxa"/>
            <w:tcBorders>
              <w:bottom w:val="single" w:sz="12" w:space="0" w:color="000000"/>
            </w:tcBorders>
            <w:vAlign w:val="center"/>
          </w:tcPr>
          <w:p w:rsidR="00B61E7A" w:rsidRDefault="000A50C9">
            <w:pPr>
              <w:jc w:val="center"/>
              <w:rPr>
                <w:rFonts w:ascii="宋体" w:eastAsia="宋体" w:hAnsi="宋体"/>
                <w:sz w:val="24"/>
                <w:szCs w:val="24"/>
              </w:rPr>
            </w:pPr>
            <w:r>
              <w:rPr>
                <w:rFonts w:ascii="宋体" w:eastAsia="宋体" w:hAnsi="宋体" w:hint="eastAsia"/>
                <w:sz w:val="24"/>
                <w:szCs w:val="24"/>
              </w:rPr>
              <w:t>155.861</w:t>
            </w:r>
          </w:p>
          <w:p w:rsidR="00B61E7A" w:rsidRDefault="000A50C9">
            <w:pPr>
              <w:jc w:val="center"/>
              <w:rPr>
                <w:rFonts w:ascii="宋体" w:eastAsia="宋体" w:hAnsi="宋体"/>
                <w:sz w:val="24"/>
                <w:szCs w:val="24"/>
              </w:rPr>
            </w:pPr>
            <w:r>
              <w:rPr>
                <w:rFonts w:ascii="宋体" w:eastAsia="宋体" w:hAnsi="宋体" w:hint="eastAsia"/>
                <w:sz w:val="24"/>
                <w:szCs w:val="24"/>
              </w:rPr>
              <w:t>164.234</w:t>
            </w:r>
          </w:p>
          <w:p w:rsidR="00B61E7A" w:rsidRDefault="000A50C9">
            <w:pPr>
              <w:jc w:val="center"/>
              <w:rPr>
                <w:rFonts w:ascii="宋体" w:eastAsia="宋体" w:hAnsi="宋体"/>
                <w:sz w:val="24"/>
                <w:szCs w:val="24"/>
              </w:rPr>
            </w:pPr>
            <w:r>
              <w:rPr>
                <w:rFonts w:ascii="宋体" w:eastAsia="宋体" w:hAnsi="宋体" w:hint="eastAsia"/>
                <w:sz w:val="24"/>
                <w:szCs w:val="24"/>
              </w:rPr>
              <w:t>158.403</w:t>
            </w:r>
          </w:p>
          <w:p w:rsidR="00B61E7A" w:rsidRDefault="000A50C9">
            <w:pPr>
              <w:jc w:val="center"/>
              <w:rPr>
                <w:rFonts w:ascii="宋体" w:eastAsia="宋体" w:hAnsi="宋体"/>
                <w:sz w:val="24"/>
                <w:szCs w:val="24"/>
              </w:rPr>
            </w:pPr>
            <w:r>
              <w:rPr>
                <w:rFonts w:ascii="宋体" w:eastAsia="宋体" w:hAnsi="宋体" w:hint="eastAsia"/>
                <w:sz w:val="24"/>
                <w:szCs w:val="24"/>
              </w:rPr>
              <w:t>160.941</w:t>
            </w:r>
          </w:p>
          <w:p w:rsidR="00B61E7A" w:rsidRDefault="000A50C9">
            <w:pPr>
              <w:jc w:val="center"/>
              <w:rPr>
                <w:rFonts w:ascii="宋体" w:eastAsia="宋体" w:hAnsi="宋体"/>
                <w:sz w:val="24"/>
                <w:szCs w:val="24"/>
              </w:rPr>
            </w:pPr>
            <w:r>
              <w:rPr>
                <w:rFonts w:ascii="宋体" w:eastAsia="宋体" w:hAnsi="宋体" w:hint="eastAsia"/>
                <w:sz w:val="24"/>
                <w:szCs w:val="24"/>
              </w:rPr>
              <w:t>160.605</w:t>
            </w:r>
          </w:p>
          <w:p w:rsidR="00B61E7A" w:rsidRDefault="000A50C9">
            <w:pPr>
              <w:jc w:val="center"/>
              <w:rPr>
                <w:rFonts w:ascii="宋体" w:eastAsia="宋体" w:hAnsi="宋体"/>
                <w:sz w:val="24"/>
                <w:szCs w:val="24"/>
              </w:rPr>
            </w:pPr>
            <w:r>
              <w:rPr>
                <w:rFonts w:ascii="宋体" w:eastAsia="宋体" w:hAnsi="宋体" w:hint="eastAsia"/>
                <w:sz w:val="24"/>
                <w:szCs w:val="24"/>
              </w:rPr>
              <w:t>155.183</w:t>
            </w:r>
          </w:p>
          <w:p w:rsidR="00B61E7A" w:rsidRDefault="000A50C9">
            <w:pPr>
              <w:jc w:val="center"/>
              <w:rPr>
                <w:rFonts w:ascii="宋体" w:eastAsia="宋体" w:hAnsi="宋体"/>
                <w:sz w:val="24"/>
                <w:szCs w:val="24"/>
              </w:rPr>
            </w:pPr>
            <w:r>
              <w:rPr>
                <w:rFonts w:ascii="宋体" w:eastAsia="宋体" w:hAnsi="宋体" w:hint="eastAsia"/>
                <w:sz w:val="24"/>
                <w:szCs w:val="24"/>
              </w:rPr>
              <w:t>162.801</w:t>
            </w:r>
          </w:p>
        </w:tc>
        <w:tc>
          <w:tcPr>
            <w:tcW w:w="2074" w:type="dxa"/>
            <w:tcBorders>
              <w:bottom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159.718</w:t>
            </w:r>
          </w:p>
        </w:tc>
        <w:tc>
          <w:tcPr>
            <w:tcW w:w="2074" w:type="dxa"/>
            <w:tcBorders>
              <w:bottom w:val="single" w:sz="12" w:space="0" w:color="000000"/>
              <w:right w:val="single" w:sz="12" w:space="0" w:color="000000"/>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2.1%</w:t>
            </w:r>
          </w:p>
        </w:tc>
      </w:tr>
    </w:tbl>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2标准曲线</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标准起草工作组对比了水基和盐基曲线对产品的影响。三个样品加标结果见表3。可见盐基曲线回收率更好。</w:t>
      </w:r>
    </w:p>
    <w:p w:rsidR="00B61E7A" w:rsidRDefault="000A50C9">
      <w:pPr>
        <w:spacing w:line="360" w:lineRule="auto"/>
        <w:ind w:firstLineChars="200" w:firstLine="480"/>
        <w:jc w:val="center"/>
        <w:rPr>
          <w:rFonts w:ascii="宋体" w:eastAsia="宋体" w:hAnsi="宋体"/>
          <w:b/>
          <w:bCs/>
          <w:sz w:val="24"/>
          <w:szCs w:val="24"/>
        </w:rPr>
      </w:pPr>
      <w:r>
        <w:rPr>
          <w:rFonts w:ascii="宋体" w:eastAsia="宋体" w:hAnsi="宋体" w:hint="eastAsia"/>
          <w:sz w:val="24"/>
          <w:szCs w:val="24"/>
        </w:rPr>
        <w:t>表3 基底对检测结果影响数据</w:t>
      </w:r>
    </w:p>
    <w:tbl>
      <w:tblPr>
        <w:tblStyle w:val="a5"/>
        <w:tblW w:w="9067" w:type="dxa"/>
        <w:tblLook w:val="04A0" w:firstRow="1" w:lastRow="0" w:firstColumn="1" w:lastColumn="0" w:noHBand="0" w:noVBand="1"/>
      </w:tblPr>
      <w:tblGrid>
        <w:gridCol w:w="1271"/>
        <w:gridCol w:w="1004"/>
        <w:gridCol w:w="1004"/>
        <w:gridCol w:w="1004"/>
        <w:gridCol w:w="1004"/>
        <w:gridCol w:w="1004"/>
        <w:gridCol w:w="1148"/>
        <w:gridCol w:w="1628"/>
      </w:tblGrid>
      <w:tr w:rsidR="00B61E7A">
        <w:tc>
          <w:tcPr>
            <w:tcW w:w="1271" w:type="dxa"/>
            <w:tcBorders>
              <w:top w:val="single" w:sz="12" w:space="0" w:color="000000"/>
              <w:left w:val="single" w:sz="12" w:space="0" w:color="000000"/>
              <w:bottom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04" w:type="dxa"/>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00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w:t>
            </w:r>
          </w:p>
        </w:tc>
        <w:tc>
          <w:tcPr>
            <w:tcW w:w="100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w:t>
            </w:r>
          </w:p>
        </w:tc>
        <w:tc>
          <w:tcPr>
            <w:tcW w:w="100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5</w:t>
            </w:r>
          </w:p>
        </w:tc>
        <w:tc>
          <w:tcPr>
            <w:tcW w:w="100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w:t>
            </w:r>
          </w:p>
        </w:tc>
        <w:tc>
          <w:tcPr>
            <w:tcW w:w="1148"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20</w:t>
            </w:r>
          </w:p>
        </w:tc>
        <w:tc>
          <w:tcPr>
            <w:tcW w:w="1628" w:type="dxa"/>
            <w:tcBorders>
              <w:top w:val="single" w:sz="12" w:space="0" w:color="000000"/>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检测回收率%</w:t>
            </w:r>
          </w:p>
        </w:tc>
      </w:tr>
      <w:tr w:rsidR="00B61E7A">
        <w:tc>
          <w:tcPr>
            <w:tcW w:w="1271" w:type="dxa"/>
            <w:tcBorders>
              <w:top w:val="single" w:sz="12" w:space="0" w:color="000000"/>
              <w:left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水基</w:t>
            </w:r>
          </w:p>
        </w:tc>
        <w:tc>
          <w:tcPr>
            <w:tcW w:w="1004" w:type="dxa"/>
            <w:tcBorders>
              <w:top w:val="single" w:sz="12" w:space="0" w:color="000000"/>
              <w:lef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00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104.204</w:t>
            </w:r>
          </w:p>
        </w:tc>
        <w:tc>
          <w:tcPr>
            <w:tcW w:w="100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243.676</w:t>
            </w:r>
          </w:p>
        </w:tc>
        <w:tc>
          <w:tcPr>
            <w:tcW w:w="100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427.276</w:t>
            </w:r>
          </w:p>
        </w:tc>
        <w:tc>
          <w:tcPr>
            <w:tcW w:w="100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772.179</w:t>
            </w:r>
          </w:p>
        </w:tc>
        <w:tc>
          <w:tcPr>
            <w:tcW w:w="1148"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1547.594</w:t>
            </w:r>
          </w:p>
        </w:tc>
        <w:tc>
          <w:tcPr>
            <w:tcW w:w="1628" w:type="dxa"/>
            <w:vMerge w:val="restart"/>
            <w:tcBorders>
              <w:top w:val="single" w:sz="12" w:space="0" w:color="000000"/>
              <w:right w:val="single" w:sz="12" w:space="0" w:color="000000"/>
            </w:tcBorders>
            <w:vAlign w:val="center"/>
          </w:tcPr>
          <w:p w:rsidR="00B61E7A" w:rsidRDefault="000A50C9">
            <w:pPr>
              <w:jc w:val="center"/>
              <w:rPr>
                <w:rFonts w:ascii="等线" w:eastAsia="等线" w:hAnsi="等线"/>
                <w:color w:val="000000"/>
                <w:szCs w:val="21"/>
              </w:rPr>
            </w:pPr>
            <w:r>
              <w:rPr>
                <w:rFonts w:ascii="等线" w:eastAsia="等线" w:hAnsi="等线" w:hint="eastAsia"/>
                <w:color w:val="000000"/>
                <w:szCs w:val="21"/>
              </w:rPr>
              <w:t>113.48</w:t>
            </w:r>
          </w:p>
          <w:p w:rsidR="00B61E7A" w:rsidRDefault="000A50C9">
            <w:pPr>
              <w:jc w:val="center"/>
              <w:rPr>
                <w:rFonts w:ascii="等线" w:eastAsia="等线" w:hAnsi="等线"/>
                <w:color w:val="000000"/>
                <w:szCs w:val="21"/>
              </w:rPr>
            </w:pPr>
            <w:r>
              <w:rPr>
                <w:rFonts w:ascii="等线" w:eastAsia="等线" w:hAnsi="等线" w:hint="eastAsia"/>
                <w:color w:val="000000"/>
                <w:szCs w:val="21"/>
              </w:rPr>
              <w:t>116.11</w:t>
            </w:r>
          </w:p>
          <w:p w:rsidR="00B61E7A" w:rsidRDefault="000A50C9">
            <w:pPr>
              <w:jc w:val="center"/>
              <w:rPr>
                <w:rFonts w:ascii="等线" w:eastAsia="等线" w:hAnsi="等线"/>
                <w:color w:val="000000"/>
                <w:szCs w:val="21"/>
              </w:rPr>
            </w:pPr>
            <w:r>
              <w:rPr>
                <w:rFonts w:ascii="等线" w:eastAsia="等线" w:hAnsi="等线" w:hint="eastAsia"/>
                <w:color w:val="000000"/>
                <w:szCs w:val="21"/>
              </w:rPr>
              <w:t>118.39</w:t>
            </w:r>
          </w:p>
        </w:tc>
      </w:tr>
      <w:tr w:rsidR="00B61E7A">
        <w:tc>
          <w:tcPr>
            <w:tcW w:w="1271" w:type="dxa"/>
            <w:tcBorders>
              <w:left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曲线</w:t>
            </w:r>
          </w:p>
        </w:tc>
        <w:tc>
          <w:tcPr>
            <w:tcW w:w="6168" w:type="dxa"/>
            <w:gridSpan w:val="6"/>
            <w:tcBorders>
              <w:left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szCs w:val="21"/>
              </w:rPr>
              <w:t>y = 75.347x + 38.624</w:t>
            </w:r>
            <w:r>
              <w:rPr>
                <w:rFonts w:ascii="宋体" w:eastAsia="宋体" w:hAnsi="宋体" w:hint="eastAsia"/>
                <w:szCs w:val="21"/>
              </w:rPr>
              <w:t>（R</w:t>
            </w:r>
            <w:r>
              <w:rPr>
                <w:rFonts w:ascii="宋体" w:eastAsia="宋体" w:hAnsi="宋体" w:hint="eastAsia"/>
                <w:szCs w:val="21"/>
                <w:vertAlign w:val="superscript"/>
              </w:rPr>
              <w:t>2</w:t>
            </w:r>
            <w:r>
              <w:rPr>
                <w:rFonts w:ascii="宋体" w:eastAsia="宋体" w:hAnsi="宋体" w:hint="eastAsia"/>
                <w:szCs w:val="21"/>
              </w:rPr>
              <w:t>=0.997）</w:t>
            </w:r>
          </w:p>
        </w:tc>
        <w:tc>
          <w:tcPr>
            <w:tcW w:w="1628" w:type="dxa"/>
            <w:vMerge/>
            <w:tcBorders>
              <w:right w:val="single" w:sz="12" w:space="0" w:color="000000"/>
            </w:tcBorders>
            <w:vAlign w:val="center"/>
          </w:tcPr>
          <w:p w:rsidR="00B61E7A" w:rsidRDefault="00B61E7A">
            <w:pPr>
              <w:jc w:val="center"/>
              <w:rPr>
                <w:rFonts w:ascii="宋体" w:eastAsia="宋体" w:hAnsi="宋体"/>
                <w:szCs w:val="21"/>
              </w:rPr>
            </w:pPr>
          </w:p>
        </w:tc>
      </w:tr>
      <w:tr w:rsidR="00B61E7A">
        <w:tc>
          <w:tcPr>
            <w:tcW w:w="1271" w:type="dxa"/>
            <w:tcBorders>
              <w:left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盐基</w:t>
            </w:r>
          </w:p>
        </w:tc>
        <w:tc>
          <w:tcPr>
            <w:tcW w:w="1004" w:type="dxa"/>
            <w:tcBorders>
              <w:lef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00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53.822</w:t>
            </w:r>
          </w:p>
        </w:tc>
        <w:tc>
          <w:tcPr>
            <w:tcW w:w="100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142.188</w:t>
            </w:r>
          </w:p>
        </w:tc>
        <w:tc>
          <w:tcPr>
            <w:tcW w:w="100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378.295</w:t>
            </w:r>
          </w:p>
        </w:tc>
        <w:tc>
          <w:tcPr>
            <w:tcW w:w="100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699.483</w:t>
            </w:r>
          </w:p>
        </w:tc>
        <w:tc>
          <w:tcPr>
            <w:tcW w:w="1148"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1622.07</w:t>
            </w:r>
          </w:p>
        </w:tc>
        <w:tc>
          <w:tcPr>
            <w:tcW w:w="1628" w:type="dxa"/>
            <w:vMerge w:val="restart"/>
            <w:tcBorders>
              <w:right w:val="single" w:sz="12" w:space="0" w:color="000000"/>
            </w:tcBorders>
            <w:vAlign w:val="center"/>
          </w:tcPr>
          <w:p w:rsidR="00B61E7A" w:rsidRDefault="000A50C9">
            <w:pPr>
              <w:jc w:val="center"/>
              <w:rPr>
                <w:rFonts w:ascii="等线" w:eastAsia="等线" w:hAnsi="等线"/>
                <w:color w:val="000000"/>
                <w:szCs w:val="21"/>
              </w:rPr>
            </w:pPr>
            <w:r>
              <w:rPr>
                <w:rFonts w:ascii="等线" w:eastAsia="等线" w:hAnsi="等线" w:hint="eastAsia"/>
                <w:color w:val="000000"/>
                <w:szCs w:val="21"/>
              </w:rPr>
              <w:t>106.06</w:t>
            </w:r>
          </w:p>
          <w:p w:rsidR="00B61E7A" w:rsidRDefault="000A50C9">
            <w:pPr>
              <w:jc w:val="center"/>
              <w:rPr>
                <w:rFonts w:ascii="等线" w:eastAsia="等线" w:hAnsi="等线"/>
                <w:color w:val="000000"/>
                <w:szCs w:val="21"/>
              </w:rPr>
            </w:pPr>
            <w:r>
              <w:rPr>
                <w:rFonts w:ascii="等线" w:eastAsia="等线" w:hAnsi="等线" w:hint="eastAsia"/>
                <w:color w:val="000000"/>
                <w:szCs w:val="21"/>
              </w:rPr>
              <w:t>108.52</w:t>
            </w:r>
          </w:p>
          <w:p w:rsidR="00B61E7A" w:rsidRDefault="000A50C9">
            <w:pPr>
              <w:jc w:val="center"/>
              <w:rPr>
                <w:rFonts w:ascii="等线" w:eastAsia="等线" w:hAnsi="等线"/>
                <w:color w:val="000000"/>
                <w:szCs w:val="21"/>
              </w:rPr>
            </w:pPr>
            <w:r>
              <w:rPr>
                <w:rFonts w:ascii="等线" w:eastAsia="等线" w:hAnsi="等线" w:hint="eastAsia"/>
                <w:color w:val="000000"/>
                <w:szCs w:val="21"/>
              </w:rPr>
              <w:t>110.65</w:t>
            </w:r>
          </w:p>
        </w:tc>
      </w:tr>
      <w:tr w:rsidR="00B61E7A">
        <w:tc>
          <w:tcPr>
            <w:tcW w:w="1271" w:type="dxa"/>
            <w:tcBorders>
              <w:left w:val="single" w:sz="12" w:space="0" w:color="000000"/>
              <w:bottom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曲线</w:t>
            </w:r>
          </w:p>
        </w:tc>
        <w:tc>
          <w:tcPr>
            <w:tcW w:w="6168" w:type="dxa"/>
            <w:gridSpan w:val="6"/>
            <w:tcBorders>
              <w:left w:val="single" w:sz="12" w:space="0" w:color="000000"/>
              <w:bottom w:val="single" w:sz="12" w:space="0" w:color="000000"/>
            </w:tcBorders>
          </w:tcPr>
          <w:p w:rsidR="00B61E7A" w:rsidRDefault="000A50C9">
            <w:pPr>
              <w:tabs>
                <w:tab w:val="left" w:pos="2002"/>
              </w:tabs>
              <w:spacing w:line="360" w:lineRule="auto"/>
              <w:jc w:val="center"/>
              <w:rPr>
                <w:rFonts w:ascii="宋体" w:eastAsia="宋体" w:hAnsi="宋体"/>
                <w:sz w:val="24"/>
                <w:szCs w:val="24"/>
              </w:rPr>
            </w:pPr>
            <w:r>
              <w:rPr>
                <w:rFonts w:ascii="宋体" w:eastAsia="宋体" w:hAnsi="宋体"/>
                <w:szCs w:val="21"/>
              </w:rPr>
              <w:t>y = 80.618x - 27.938</w:t>
            </w:r>
            <w:r>
              <w:rPr>
                <w:rFonts w:ascii="宋体" w:eastAsia="宋体" w:hAnsi="宋体" w:hint="eastAsia"/>
                <w:szCs w:val="21"/>
              </w:rPr>
              <w:t>（R</w:t>
            </w:r>
            <w:r>
              <w:rPr>
                <w:rFonts w:ascii="宋体" w:eastAsia="宋体" w:hAnsi="宋体" w:hint="eastAsia"/>
                <w:szCs w:val="21"/>
                <w:vertAlign w:val="superscript"/>
              </w:rPr>
              <w:t>2</w:t>
            </w:r>
            <w:r>
              <w:rPr>
                <w:rFonts w:ascii="宋体" w:eastAsia="宋体" w:hAnsi="宋体" w:hint="eastAsia"/>
                <w:szCs w:val="21"/>
              </w:rPr>
              <w:t>=0.996）</w:t>
            </w:r>
          </w:p>
        </w:tc>
        <w:tc>
          <w:tcPr>
            <w:tcW w:w="1628" w:type="dxa"/>
            <w:vMerge/>
            <w:tcBorders>
              <w:bottom w:val="single" w:sz="12" w:space="0" w:color="000000"/>
              <w:right w:val="single" w:sz="12" w:space="0" w:color="000000"/>
            </w:tcBorders>
            <w:vAlign w:val="center"/>
          </w:tcPr>
          <w:p w:rsidR="00B61E7A" w:rsidRDefault="00B61E7A">
            <w:pPr>
              <w:tabs>
                <w:tab w:val="left" w:pos="2002"/>
              </w:tabs>
              <w:spacing w:line="360" w:lineRule="auto"/>
              <w:jc w:val="center"/>
              <w:rPr>
                <w:rFonts w:ascii="宋体" w:eastAsia="宋体" w:hAnsi="宋体"/>
                <w:sz w:val="24"/>
                <w:szCs w:val="24"/>
              </w:rPr>
            </w:pPr>
          </w:p>
        </w:tc>
      </w:tr>
    </w:tbl>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标准曲线选取0</w:t>
      </w:r>
      <w:bookmarkStart w:id="1" w:name="_Hlk194641982"/>
      <w:r>
        <w:rPr>
          <w:rFonts w:ascii="宋体" w:eastAsia="宋体" w:hAnsi="宋体" w:hint="eastAsia"/>
          <w:sz w:val="24"/>
          <w:szCs w:val="24"/>
        </w:rPr>
        <w:t>μg/L、1μg/L、2μg/L、5μg/L、10μg/L、20μg/L六个点，考虑不同设备间的差距，连续四天设置不同灯电流进行标准曲线测定。</w:t>
      </w:r>
      <w:bookmarkEnd w:id="1"/>
      <w:r>
        <w:rPr>
          <w:rFonts w:ascii="宋体" w:eastAsia="宋体" w:hAnsi="宋体" w:hint="eastAsia"/>
          <w:sz w:val="24"/>
          <w:szCs w:val="24"/>
        </w:rPr>
        <w:t>根据表4可见，该标准选取的系列曲线点与硒浓度有良好的曲线关系，满足GB/T 27417-2017要求。</w:t>
      </w:r>
    </w:p>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表4 标准曲线数据</w:t>
      </w:r>
    </w:p>
    <w:tbl>
      <w:tblPr>
        <w:tblStyle w:val="a5"/>
        <w:tblW w:w="0" w:type="auto"/>
        <w:tblLook w:val="04A0" w:firstRow="1" w:lastRow="0" w:firstColumn="1" w:lastColumn="0" w:noHBand="0" w:noVBand="1"/>
      </w:tblPr>
      <w:tblGrid>
        <w:gridCol w:w="1180"/>
        <w:gridCol w:w="1178"/>
        <w:gridCol w:w="1183"/>
        <w:gridCol w:w="1183"/>
        <w:gridCol w:w="1183"/>
        <w:gridCol w:w="1184"/>
        <w:gridCol w:w="1185"/>
      </w:tblGrid>
      <w:tr w:rsidR="00B61E7A">
        <w:tc>
          <w:tcPr>
            <w:tcW w:w="1185" w:type="dxa"/>
            <w:tcBorders>
              <w:top w:val="single" w:sz="12" w:space="0" w:color="000000"/>
              <w:left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浓度μg/L</w:t>
            </w:r>
          </w:p>
        </w:tc>
        <w:tc>
          <w:tcPr>
            <w:tcW w:w="1185" w:type="dxa"/>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18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w:t>
            </w:r>
          </w:p>
        </w:tc>
        <w:tc>
          <w:tcPr>
            <w:tcW w:w="118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w:t>
            </w:r>
          </w:p>
        </w:tc>
        <w:tc>
          <w:tcPr>
            <w:tcW w:w="118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5</w:t>
            </w:r>
          </w:p>
        </w:tc>
        <w:tc>
          <w:tcPr>
            <w:tcW w:w="118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w:t>
            </w:r>
          </w:p>
        </w:tc>
        <w:tc>
          <w:tcPr>
            <w:tcW w:w="1186" w:type="dxa"/>
            <w:tcBorders>
              <w:top w:val="single" w:sz="12" w:space="0" w:color="000000"/>
              <w:bottom w:val="single" w:sz="12" w:space="0" w:color="000000"/>
              <w:righ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20</w:t>
            </w:r>
          </w:p>
        </w:tc>
      </w:tr>
      <w:tr w:rsidR="00B61E7A">
        <w:tc>
          <w:tcPr>
            <w:tcW w:w="1185" w:type="dxa"/>
            <w:tcBorders>
              <w:top w:val="single" w:sz="12" w:space="0" w:color="000000"/>
              <w:left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lastRenderedPageBreak/>
              <w:t>强度</w:t>
            </w:r>
          </w:p>
        </w:tc>
        <w:tc>
          <w:tcPr>
            <w:tcW w:w="1185" w:type="dxa"/>
            <w:tcBorders>
              <w:top w:val="single" w:sz="12" w:space="0" w:color="000000"/>
              <w:lef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131.315</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274.415</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733.432</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1504.947</w:t>
            </w:r>
          </w:p>
        </w:tc>
        <w:tc>
          <w:tcPr>
            <w:tcW w:w="1186"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3041.415</w:t>
            </w:r>
          </w:p>
        </w:tc>
      </w:tr>
      <w:tr w:rsidR="00B61E7A">
        <w:tc>
          <w:tcPr>
            <w:tcW w:w="1185" w:type="dxa"/>
            <w:tcBorders>
              <w:left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曲线1</w:t>
            </w:r>
          </w:p>
        </w:tc>
        <w:tc>
          <w:tcPr>
            <w:tcW w:w="4740" w:type="dxa"/>
            <w:gridSpan w:val="4"/>
            <w:tcBorders>
              <w:left w:val="single" w:sz="12" w:space="0" w:color="000000"/>
              <w:bottom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szCs w:val="21"/>
              </w:rPr>
              <w:t>y=152.82x-20.291</w:t>
            </w:r>
          </w:p>
        </w:tc>
        <w:tc>
          <w:tcPr>
            <w:tcW w:w="1185" w:type="dxa"/>
            <w:tcBorders>
              <w:bottom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R</w:t>
            </w:r>
            <w:r>
              <w:rPr>
                <w:rFonts w:ascii="等线" w:eastAsia="等线" w:hAnsi="等线" w:hint="eastAsia"/>
                <w:color w:val="000000"/>
                <w:szCs w:val="21"/>
                <w:vertAlign w:val="superscript"/>
              </w:rPr>
              <w:t>2</w:t>
            </w:r>
          </w:p>
        </w:tc>
        <w:tc>
          <w:tcPr>
            <w:tcW w:w="1186" w:type="dxa"/>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0.9999</w:t>
            </w:r>
          </w:p>
        </w:tc>
      </w:tr>
      <w:tr w:rsidR="00B61E7A">
        <w:tc>
          <w:tcPr>
            <w:tcW w:w="1185" w:type="dxa"/>
            <w:tcBorders>
              <w:top w:val="single" w:sz="12" w:space="0" w:color="000000"/>
              <w:left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强度</w:t>
            </w:r>
          </w:p>
        </w:tc>
        <w:tc>
          <w:tcPr>
            <w:tcW w:w="1185" w:type="dxa"/>
            <w:tcBorders>
              <w:top w:val="single" w:sz="12" w:space="0" w:color="000000"/>
              <w:left w:val="single" w:sz="12" w:space="0" w:color="000000"/>
            </w:tcBorders>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74.511</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161.184</w:t>
            </w:r>
          </w:p>
        </w:tc>
        <w:tc>
          <w:tcPr>
            <w:tcW w:w="118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429.516</w:t>
            </w:r>
          </w:p>
        </w:tc>
        <w:tc>
          <w:tcPr>
            <w:tcW w:w="118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885.651</w:t>
            </w:r>
          </w:p>
        </w:tc>
        <w:tc>
          <w:tcPr>
            <w:tcW w:w="1186"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1854.789</w:t>
            </w:r>
          </w:p>
        </w:tc>
      </w:tr>
      <w:tr w:rsidR="00B61E7A">
        <w:tc>
          <w:tcPr>
            <w:tcW w:w="1185" w:type="dxa"/>
            <w:tcBorders>
              <w:left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曲线2</w:t>
            </w:r>
          </w:p>
        </w:tc>
        <w:tc>
          <w:tcPr>
            <w:tcW w:w="4740" w:type="dxa"/>
            <w:gridSpan w:val="4"/>
            <w:tcBorders>
              <w:left w:val="single" w:sz="12" w:space="0" w:color="000000"/>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color w:val="000000"/>
                <w:szCs w:val="21"/>
              </w:rPr>
              <w:t>y=93.068x-21.821</w:t>
            </w:r>
          </w:p>
        </w:tc>
        <w:tc>
          <w:tcPr>
            <w:tcW w:w="1185" w:type="dxa"/>
            <w:tcBorders>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R</w:t>
            </w:r>
            <w:r>
              <w:rPr>
                <w:rFonts w:ascii="等线" w:eastAsia="等线" w:hAnsi="等线" w:hint="eastAsia"/>
                <w:color w:val="000000"/>
                <w:szCs w:val="21"/>
                <w:vertAlign w:val="superscript"/>
              </w:rPr>
              <w:t>2</w:t>
            </w:r>
          </w:p>
        </w:tc>
        <w:tc>
          <w:tcPr>
            <w:tcW w:w="1186" w:type="dxa"/>
            <w:tcBorders>
              <w:bottom w:val="single" w:sz="12" w:space="0" w:color="000000"/>
              <w:right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0.9994</w:t>
            </w:r>
          </w:p>
        </w:tc>
      </w:tr>
      <w:tr w:rsidR="00B61E7A">
        <w:tc>
          <w:tcPr>
            <w:tcW w:w="1185" w:type="dxa"/>
            <w:tcBorders>
              <w:top w:val="single" w:sz="12" w:space="0" w:color="000000"/>
              <w:left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强度</w:t>
            </w:r>
          </w:p>
        </w:tc>
        <w:tc>
          <w:tcPr>
            <w:tcW w:w="1185" w:type="dxa"/>
            <w:tcBorders>
              <w:top w:val="single" w:sz="12" w:space="0" w:color="000000"/>
              <w:left w:val="single" w:sz="12" w:space="0" w:color="000000"/>
            </w:tcBorders>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95.82</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203.29</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523.872</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1103.76</w:t>
            </w:r>
          </w:p>
        </w:tc>
        <w:tc>
          <w:tcPr>
            <w:tcW w:w="1186"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2241.443</w:t>
            </w:r>
          </w:p>
        </w:tc>
      </w:tr>
      <w:tr w:rsidR="00B61E7A">
        <w:tc>
          <w:tcPr>
            <w:tcW w:w="1185" w:type="dxa"/>
            <w:tcBorders>
              <w:left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曲线3</w:t>
            </w:r>
          </w:p>
        </w:tc>
        <w:tc>
          <w:tcPr>
            <w:tcW w:w="4740" w:type="dxa"/>
            <w:gridSpan w:val="4"/>
            <w:tcBorders>
              <w:left w:val="single" w:sz="12" w:space="0" w:color="000000"/>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color w:val="000000"/>
                <w:szCs w:val="21"/>
              </w:rPr>
              <w:t>y=112.64x-18.672</w:t>
            </w:r>
          </w:p>
        </w:tc>
        <w:tc>
          <w:tcPr>
            <w:tcW w:w="1185" w:type="dxa"/>
            <w:tcBorders>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R</w:t>
            </w:r>
            <w:r>
              <w:rPr>
                <w:rFonts w:ascii="等线" w:eastAsia="等线" w:hAnsi="等线" w:hint="eastAsia"/>
                <w:color w:val="000000"/>
                <w:szCs w:val="21"/>
                <w:vertAlign w:val="superscript"/>
              </w:rPr>
              <w:t>2</w:t>
            </w:r>
          </w:p>
        </w:tc>
        <w:tc>
          <w:tcPr>
            <w:tcW w:w="1186" w:type="dxa"/>
            <w:tcBorders>
              <w:bottom w:val="single" w:sz="12" w:space="0" w:color="000000"/>
              <w:right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0.9998</w:t>
            </w:r>
          </w:p>
        </w:tc>
      </w:tr>
      <w:tr w:rsidR="00B61E7A">
        <w:tc>
          <w:tcPr>
            <w:tcW w:w="1185" w:type="dxa"/>
            <w:tcBorders>
              <w:top w:val="single" w:sz="12" w:space="0" w:color="000000"/>
              <w:left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强度</w:t>
            </w:r>
          </w:p>
        </w:tc>
        <w:tc>
          <w:tcPr>
            <w:tcW w:w="1185" w:type="dxa"/>
            <w:tcBorders>
              <w:top w:val="single" w:sz="12" w:space="0" w:color="000000"/>
              <w:left w:val="single" w:sz="12" w:space="0" w:color="000000"/>
            </w:tcBorders>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65.772</w:t>
            </w:r>
          </w:p>
        </w:tc>
        <w:tc>
          <w:tcPr>
            <w:tcW w:w="118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203.009</w:t>
            </w:r>
          </w:p>
        </w:tc>
        <w:tc>
          <w:tcPr>
            <w:tcW w:w="118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520.739</w:t>
            </w:r>
          </w:p>
        </w:tc>
        <w:tc>
          <w:tcPr>
            <w:tcW w:w="118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1089.454</w:t>
            </w:r>
          </w:p>
        </w:tc>
        <w:tc>
          <w:tcPr>
            <w:tcW w:w="1186" w:type="dxa"/>
            <w:tcBorders>
              <w:top w:val="single" w:sz="12" w:space="0" w:color="000000"/>
              <w:right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2289.049</w:t>
            </w:r>
          </w:p>
        </w:tc>
      </w:tr>
      <w:tr w:rsidR="00B61E7A">
        <w:tc>
          <w:tcPr>
            <w:tcW w:w="1185" w:type="dxa"/>
            <w:tcBorders>
              <w:left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曲线4</w:t>
            </w:r>
          </w:p>
        </w:tc>
        <w:tc>
          <w:tcPr>
            <w:tcW w:w="4740" w:type="dxa"/>
            <w:gridSpan w:val="4"/>
            <w:tcBorders>
              <w:left w:val="single" w:sz="12" w:space="0" w:color="000000"/>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color w:val="000000"/>
                <w:szCs w:val="21"/>
              </w:rPr>
              <w:t>y=115.28x-35.418</w:t>
            </w:r>
          </w:p>
        </w:tc>
        <w:tc>
          <w:tcPr>
            <w:tcW w:w="1185" w:type="dxa"/>
            <w:tcBorders>
              <w:bottom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R</w:t>
            </w:r>
            <w:r>
              <w:rPr>
                <w:rFonts w:ascii="等线" w:eastAsia="等线" w:hAnsi="等线" w:hint="eastAsia"/>
                <w:color w:val="000000"/>
                <w:szCs w:val="21"/>
                <w:vertAlign w:val="superscript"/>
              </w:rPr>
              <w:t>2</w:t>
            </w:r>
          </w:p>
        </w:tc>
        <w:tc>
          <w:tcPr>
            <w:tcW w:w="1186" w:type="dxa"/>
            <w:tcBorders>
              <w:bottom w:val="single" w:sz="12" w:space="0" w:color="000000"/>
              <w:right w:val="single" w:sz="12" w:space="0" w:color="000000"/>
            </w:tcBorders>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0.9992</w:t>
            </w:r>
          </w:p>
        </w:tc>
      </w:tr>
    </w:tbl>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3精密度与正确度</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3.1 总硒测定前处理验证</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本标准总硒的测定使用了两种前处理方式，分别是湿法消解和微波消解。两种方式均做了加标回收率试验，加入标准物质浓度分别是检出限的1倍、2倍、10倍，检测结果见表5、表6。湿法消解回收率在85.0%</w:t>
      </w:r>
      <w:r>
        <w:rPr>
          <w:rFonts w:ascii="Times New Roman" w:eastAsia="宋体" w:hAnsi="Times New Roman" w:cs="Times New Roman"/>
          <w:sz w:val="24"/>
          <w:szCs w:val="24"/>
        </w:rPr>
        <w:t>~</w:t>
      </w:r>
      <w:r>
        <w:rPr>
          <w:rFonts w:ascii="宋体" w:eastAsia="宋体" w:hAnsi="宋体" w:hint="eastAsia"/>
          <w:sz w:val="24"/>
          <w:szCs w:val="24"/>
        </w:rPr>
        <w:t>102.4%之间，RSD在1.13%</w:t>
      </w:r>
      <w:r>
        <w:rPr>
          <w:rFonts w:ascii="Times New Roman" w:eastAsia="宋体" w:hAnsi="Times New Roman" w:cs="Times New Roman"/>
          <w:sz w:val="24"/>
          <w:szCs w:val="24"/>
        </w:rPr>
        <w:t>~</w:t>
      </w:r>
      <w:r>
        <w:rPr>
          <w:rFonts w:ascii="宋体" w:eastAsia="宋体" w:hAnsi="宋体" w:hint="eastAsia"/>
          <w:sz w:val="24"/>
          <w:szCs w:val="24"/>
        </w:rPr>
        <w:t>4.12%之间。微波消解法回收率在91.9%</w:t>
      </w:r>
      <w:r>
        <w:rPr>
          <w:rFonts w:ascii="Times New Roman" w:eastAsia="宋体" w:hAnsi="Times New Roman" w:cs="Times New Roman" w:hint="eastAsia"/>
          <w:sz w:val="24"/>
          <w:szCs w:val="24"/>
        </w:rPr>
        <w:t>~</w:t>
      </w:r>
      <w:r>
        <w:rPr>
          <w:rFonts w:ascii="宋体" w:eastAsia="宋体" w:hAnsi="宋体" w:hint="eastAsia"/>
          <w:sz w:val="24"/>
          <w:szCs w:val="24"/>
        </w:rPr>
        <w:t>112.2%之间，RSD在1.53%</w:t>
      </w:r>
      <w:r>
        <w:rPr>
          <w:rFonts w:ascii="Times New Roman" w:eastAsia="宋体" w:hAnsi="Times New Roman" w:cs="Times New Roman"/>
          <w:sz w:val="24"/>
          <w:szCs w:val="24"/>
        </w:rPr>
        <w:t>~</w:t>
      </w:r>
      <w:r>
        <w:rPr>
          <w:rFonts w:ascii="宋体" w:eastAsia="宋体" w:hAnsi="宋体" w:hint="eastAsia"/>
          <w:sz w:val="24"/>
          <w:szCs w:val="24"/>
        </w:rPr>
        <w:t>3.87%之间。均满足GB/T 27417-2017的要求。</w:t>
      </w:r>
    </w:p>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表5 湿法消解精密度和正确度验证数据</w:t>
      </w:r>
    </w:p>
    <w:tbl>
      <w:tblPr>
        <w:tblStyle w:val="a5"/>
        <w:tblW w:w="10508" w:type="dxa"/>
        <w:jc w:val="center"/>
        <w:tblLayout w:type="fixed"/>
        <w:tblLook w:val="04A0" w:firstRow="1" w:lastRow="0" w:firstColumn="1" w:lastColumn="0" w:noHBand="0" w:noVBand="1"/>
      </w:tblPr>
      <w:tblGrid>
        <w:gridCol w:w="662"/>
        <w:gridCol w:w="756"/>
        <w:gridCol w:w="1010"/>
        <w:gridCol w:w="1010"/>
        <w:gridCol w:w="1010"/>
        <w:gridCol w:w="1010"/>
        <w:gridCol w:w="1010"/>
        <w:gridCol w:w="1010"/>
        <w:gridCol w:w="1010"/>
        <w:gridCol w:w="1010"/>
        <w:gridCol w:w="1010"/>
      </w:tblGrid>
      <w:tr w:rsidR="00B61E7A">
        <w:trPr>
          <w:tblHeader/>
          <w:jc w:val="center"/>
        </w:trPr>
        <w:tc>
          <w:tcPr>
            <w:tcW w:w="1418" w:type="dxa"/>
            <w:gridSpan w:val="2"/>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编号</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1</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2</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3</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4</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5</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6</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7</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平均值</w:t>
            </w:r>
          </w:p>
        </w:tc>
        <w:tc>
          <w:tcPr>
            <w:tcW w:w="1010" w:type="dxa"/>
            <w:tcBorders>
              <w:top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RSD%</w:t>
            </w:r>
          </w:p>
        </w:tc>
      </w:tr>
      <w:tr w:rsidR="00B61E7A">
        <w:trPr>
          <w:trHeight w:val="559"/>
          <w:jc w:val="center"/>
        </w:trPr>
        <w:tc>
          <w:tcPr>
            <w:tcW w:w="662" w:type="dxa"/>
            <w:vMerge w:val="restart"/>
            <w:tcBorders>
              <w:top w:val="single" w:sz="12" w:space="0" w:color="000000"/>
              <w:left w:val="single" w:sz="12" w:space="0" w:color="000000"/>
              <w:righ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加标1μg/kg</w:t>
            </w:r>
          </w:p>
        </w:tc>
        <w:tc>
          <w:tcPr>
            <w:tcW w:w="756" w:type="dxa"/>
            <w:tcBorders>
              <w:top w:val="single" w:sz="12" w:space="0" w:color="000000"/>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65.800</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73.518</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68.443</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66.578</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61.343</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68.740</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66.480</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67.272</w:t>
            </w:r>
          </w:p>
        </w:tc>
        <w:tc>
          <w:tcPr>
            <w:tcW w:w="1010" w:type="dxa"/>
            <w:vMerge w:val="restart"/>
            <w:tcBorders>
              <w:top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4.12</w:t>
            </w: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0.941</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1.024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0.970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0.950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0.894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0.973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0.949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0.957</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正确度%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94.15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102.44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96.99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94.98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89.36</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97.31</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94.88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95.7</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9846" w:type="dxa"/>
            <w:gridSpan w:val="10"/>
            <w:tcBorders>
              <w:left w:val="single" w:sz="4"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重复性条件下获得的七次独立测定结果的极差为0.130，是算术平均值的13.58%。</w:t>
            </w:r>
          </w:p>
        </w:tc>
      </w:tr>
      <w:tr w:rsidR="00B61E7A">
        <w:trPr>
          <w:trHeight w:val="605"/>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加标2μg/kg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144.920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150.310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146.843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145.123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146.258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147.433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148.578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147.066</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1.13</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1.792</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1.850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1.812</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1.794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1.806</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1.819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1.831</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1.815</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89.58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92.48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90.61</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89.69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90.30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90.93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91.55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90.7</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重复性条件下获得的七次独立测定结果的极差为0.058，是算术平均值的3.2%。</w:t>
            </w:r>
          </w:p>
        </w:tc>
      </w:tr>
      <w:tr w:rsidR="00B61E7A">
        <w:trPr>
          <w:trHeight w:val="561"/>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加标10μg/kg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769.260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804.180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832.880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835.876</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839.703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861.400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850.143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827.635</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3.67</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w:t>
            </w:r>
            <w:r>
              <w:rPr>
                <w:rFonts w:ascii="宋体" w:eastAsia="宋体" w:hAnsi="宋体" w:hint="eastAsia"/>
                <w:szCs w:val="21"/>
              </w:rPr>
              <w:lastRenderedPageBreak/>
              <w:t>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lastRenderedPageBreak/>
              <w:t>8.500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8.875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9.184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9.216</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9.257</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9.490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9.369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9.127</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85.00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88.75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91.84</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92.16</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92.57</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94.90</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93.69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91.3</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重复性条件下获得的七次独立测定结果的极差为0.990，是算术平均值的10.85%。</w:t>
            </w:r>
          </w:p>
        </w:tc>
      </w:tr>
    </w:tbl>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表6 微波消解法精密度和正确度验证数据</w:t>
      </w:r>
    </w:p>
    <w:tbl>
      <w:tblPr>
        <w:tblStyle w:val="a5"/>
        <w:tblW w:w="10508" w:type="dxa"/>
        <w:jc w:val="center"/>
        <w:tblLayout w:type="fixed"/>
        <w:tblLook w:val="04A0" w:firstRow="1" w:lastRow="0" w:firstColumn="1" w:lastColumn="0" w:noHBand="0" w:noVBand="1"/>
      </w:tblPr>
      <w:tblGrid>
        <w:gridCol w:w="662"/>
        <w:gridCol w:w="756"/>
        <w:gridCol w:w="1010"/>
        <w:gridCol w:w="1010"/>
        <w:gridCol w:w="1010"/>
        <w:gridCol w:w="1010"/>
        <w:gridCol w:w="1010"/>
        <w:gridCol w:w="1010"/>
        <w:gridCol w:w="1010"/>
        <w:gridCol w:w="1010"/>
        <w:gridCol w:w="1010"/>
      </w:tblGrid>
      <w:tr w:rsidR="00B61E7A">
        <w:trPr>
          <w:tblHeader/>
          <w:jc w:val="center"/>
        </w:trPr>
        <w:tc>
          <w:tcPr>
            <w:tcW w:w="1418" w:type="dxa"/>
            <w:gridSpan w:val="2"/>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编号</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1</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2</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3</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4</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5</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6</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7</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平均值</w:t>
            </w:r>
          </w:p>
        </w:tc>
        <w:tc>
          <w:tcPr>
            <w:tcW w:w="1010" w:type="dxa"/>
            <w:tcBorders>
              <w:top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RSD%</w:t>
            </w:r>
          </w:p>
        </w:tc>
      </w:tr>
      <w:tr w:rsidR="00B61E7A">
        <w:trPr>
          <w:trHeight w:val="600"/>
          <w:jc w:val="center"/>
        </w:trPr>
        <w:tc>
          <w:tcPr>
            <w:tcW w:w="662" w:type="dxa"/>
            <w:vMerge w:val="restart"/>
            <w:tcBorders>
              <w:top w:val="single" w:sz="12" w:space="0" w:color="000000"/>
              <w:left w:val="single" w:sz="12" w:space="0" w:color="000000"/>
              <w:righ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加标1μg/kg</w:t>
            </w:r>
          </w:p>
        </w:tc>
        <w:tc>
          <w:tcPr>
            <w:tcW w:w="756" w:type="dxa"/>
            <w:tcBorders>
              <w:top w:val="single" w:sz="12" w:space="0" w:color="000000"/>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76.707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77.607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75.457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78.908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73.930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82.620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82.130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78.194 </w:t>
            </w:r>
          </w:p>
        </w:tc>
        <w:tc>
          <w:tcPr>
            <w:tcW w:w="1010" w:type="dxa"/>
            <w:vMerge w:val="restart"/>
            <w:tcBorders>
              <w:top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3.26</w:t>
            </w: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1.059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1.068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1.045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1.082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1.029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1.122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1.117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1.075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正确度%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105.87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106.83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104.52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108.23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102.88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112.22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111.69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107.50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9846" w:type="dxa"/>
            <w:gridSpan w:val="10"/>
            <w:tcBorders>
              <w:left w:val="single" w:sz="4"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重复性条件下获得的七次独立测定结果的极差为0.093，是算术平均值的8.65%。</w:t>
            </w:r>
          </w:p>
        </w:tc>
      </w:tr>
      <w:tr w:rsidR="00B61E7A">
        <w:trPr>
          <w:trHeight w:val="570"/>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加标2μg/kg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154.763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167.650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169.034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158.098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170.456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174.633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171.035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166.524 </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3.87</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1.897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2.036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2.051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1.933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2.066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2.111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2.072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2.024 </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94.87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101.79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102.54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96.66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103.30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105.54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103.61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101.20 </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重复性条件下获得的七次独立测定结果的极差为0.214，是算术平均值的10.57%。</w:t>
            </w:r>
          </w:p>
        </w:tc>
      </w:tr>
      <w:tr w:rsidR="00B61E7A">
        <w:trPr>
          <w:trHeight w:val="711"/>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加标10μg/kg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833.623</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845.889</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869.098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867.342</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852.785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850.208</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867.595</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855.220</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1.53</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9.192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9.323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9.573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9.554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9.397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9.370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9.557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9.424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91.92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93.23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95.73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95.54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93.97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93.70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95.57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 w:val="22"/>
              </w:rPr>
              <w:t xml:space="preserve">94.20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重复性条件下获得的七次独立测定结果的极差为0.381，是算术平均值的4.04%。</w:t>
            </w:r>
          </w:p>
        </w:tc>
      </w:tr>
    </w:tbl>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3.2 无机硒测定前处理验证</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标准起草组采用超声提取的方式对无机硒测定做前处理。随机抽取5个富硒盐产品，对比超声与不超声两种前处理方式，结果见表7，可得超声结果普遍较高。起草组又对超声前处理方式做了精密度和正确度试验验证，见表8可知回收率在74.2%</w:t>
      </w:r>
      <w:r>
        <w:rPr>
          <w:rFonts w:ascii="Times New Roman" w:eastAsia="宋体" w:hAnsi="Times New Roman" w:cs="Times New Roman" w:hint="eastAsia"/>
          <w:sz w:val="24"/>
          <w:szCs w:val="24"/>
        </w:rPr>
        <w:t>~</w:t>
      </w:r>
      <w:r>
        <w:rPr>
          <w:rFonts w:ascii="宋体" w:eastAsia="宋体" w:hAnsi="宋体" w:hint="eastAsia"/>
          <w:sz w:val="24"/>
          <w:szCs w:val="24"/>
        </w:rPr>
        <w:t>118.0%之间，RSD在4.63%</w:t>
      </w:r>
      <w:r>
        <w:rPr>
          <w:rFonts w:ascii="Times New Roman" w:eastAsia="宋体" w:hAnsi="Times New Roman" w:cs="Times New Roman"/>
          <w:sz w:val="24"/>
          <w:szCs w:val="24"/>
        </w:rPr>
        <w:t>~</w:t>
      </w:r>
      <w:r>
        <w:rPr>
          <w:rFonts w:ascii="宋体" w:eastAsia="宋体" w:hAnsi="宋体" w:hint="eastAsia"/>
          <w:sz w:val="24"/>
          <w:szCs w:val="24"/>
        </w:rPr>
        <w:t>8.17%之间。均满足GB/T 27417-2017的要求。</w:t>
      </w:r>
    </w:p>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表7 无机硒前处理方式比较数据</w:t>
      </w:r>
    </w:p>
    <w:tbl>
      <w:tblPr>
        <w:tblStyle w:val="a5"/>
        <w:tblW w:w="0" w:type="auto"/>
        <w:tblLook w:val="04A0" w:firstRow="1" w:lastRow="0" w:firstColumn="1" w:lastColumn="0" w:noHBand="0" w:noVBand="1"/>
      </w:tblPr>
      <w:tblGrid>
        <w:gridCol w:w="1127"/>
        <w:gridCol w:w="2383"/>
        <w:gridCol w:w="2383"/>
        <w:gridCol w:w="2383"/>
      </w:tblGrid>
      <w:tr w:rsidR="00B61E7A">
        <w:trPr>
          <w:tblHeader/>
        </w:trPr>
        <w:tc>
          <w:tcPr>
            <w:tcW w:w="1129" w:type="dxa"/>
            <w:tcBorders>
              <w:top w:val="single" w:sz="12" w:space="0" w:color="000000"/>
              <w:left w:val="single" w:sz="12" w:space="0" w:color="000000"/>
              <w:bottom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lastRenderedPageBreak/>
              <w:t>样品编号</w:t>
            </w:r>
          </w:p>
        </w:tc>
        <w:tc>
          <w:tcPr>
            <w:tcW w:w="2389" w:type="dxa"/>
            <w:tcBorders>
              <w:top w:val="single" w:sz="12" w:space="0" w:color="000000"/>
              <w:bottom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超声前处理</w:t>
            </w:r>
          </w:p>
          <w:p w:rsidR="00B61E7A" w:rsidRDefault="000A50C9">
            <w:pPr>
              <w:jc w:val="center"/>
              <w:rPr>
                <w:rFonts w:ascii="宋体" w:eastAsia="宋体" w:hAnsi="宋体"/>
                <w:szCs w:val="21"/>
              </w:rPr>
            </w:pPr>
            <w:r>
              <w:rPr>
                <w:rFonts w:ascii="宋体" w:eastAsia="宋体" w:hAnsi="宋体" w:hint="eastAsia"/>
                <w:szCs w:val="21"/>
              </w:rPr>
              <w:t>无机硒含量mg/kg</w:t>
            </w:r>
          </w:p>
        </w:tc>
        <w:tc>
          <w:tcPr>
            <w:tcW w:w="2389" w:type="dxa"/>
            <w:tcBorders>
              <w:top w:val="single" w:sz="12" w:space="0" w:color="000000"/>
              <w:bottom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不做超声处理</w:t>
            </w:r>
          </w:p>
          <w:p w:rsidR="00B61E7A" w:rsidRDefault="000A50C9">
            <w:pPr>
              <w:jc w:val="center"/>
              <w:rPr>
                <w:rFonts w:ascii="宋体" w:eastAsia="宋体" w:hAnsi="宋体"/>
                <w:szCs w:val="21"/>
              </w:rPr>
            </w:pPr>
            <w:r>
              <w:rPr>
                <w:rFonts w:ascii="宋体" w:eastAsia="宋体" w:hAnsi="宋体" w:hint="eastAsia"/>
                <w:szCs w:val="21"/>
              </w:rPr>
              <w:t>无机硒含量mg/kg</w:t>
            </w:r>
          </w:p>
        </w:tc>
        <w:tc>
          <w:tcPr>
            <w:tcW w:w="2389" w:type="dxa"/>
            <w:tcBorders>
              <w:top w:val="single" w:sz="12" w:space="0" w:color="000000"/>
              <w:bottom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无机硒含量</w:t>
            </w:r>
          </w:p>
          <w:p w:rsidR="00B61E7A" w:rsidRDefault="000A50C9">
            <w:pPr>
              <w:jc w:val="center"/>
              <w:rPr>
                <w:rFonts w:ascii="宋体" w:eastAsia="宋体" w:hAnsi="宋体"/>
                <w:szCs w:val="21"/>
              </w:rPr>
            </w:pPr>
            <w:r>
              <w:rPr>
                <w:rFonts w:ascii="宋体" w:eastAsia="宋体" w:hAnsi="宋体" w:hint="eastAsia"/>
                <w:szCs w:val="21"/>
              </w:rPr>
              <w:t>差值mg/kg</w:t>
            </w:r>
          </w:p>
        </w:tc>
      </w:tr>
      <w:tr w:rsidR="00B61E7A">
        <w:tc>
          <w:tcPr>
            <w:tcW w:w="1129" w:type="dxa"/>
            <w:vMerge w:val="restart"/>
            <w:tcBorders>
              <w:top w:val="single" w:sz="12" w:space="0" w:color="000000"/>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1</w:t>
            </w:r>
          </w:p>
        </w:tc>
        <w:tc>
          <w:tcPr>
            <w:tcW w:w="2389" w:type="dxa"/>
            <w:tcBorders>
              <w:top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0.0168</w:t>
            </w:r>
          </w:p>
        </w:tc>
        <w:tc>
          <w:tcPr>
            <w:tcW w:w="2389" w:type="dxa"/>
            <w:tcBorders>
              <w:top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0.0075</w:t>
            </w:r>
          </w:p>
        </w:tc>
        <w:tc>
          <w:tcPr>
            <w:tcW w:w="2389" w:type="dxa"/>
            <w:tcBorders>
              <w:top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0.0093</w:t>
            </w:r>
          </w:p>
        </w:tc>
      </w:tr>
      <w:tr w:rsidR="00B61E7A">
        <w:tc>
          <w:tcPr>
            <w:tcW w:w="1129" w:type="dxa"/>
            <w:vMerge/>
            <w:tcBorders>
              <w:left w:val="single" w:sz="12" w:space="0" w:color="000000"/>
            </w:tcBorders>
            <w:vAlign w:val="center"/>
          </w:tcPr>
          <w:p w:rsidR="00B61E7A" w:rsidRDefault="00B61E7A">
            <w:pPr>
              <w:jc w:val="center"/>
              <w:rPr>
                <w:rFonts w:ascii="宋体" w:eastAsia="宋体" w:hAnsi="宋体"/>
                <w:szCs w:val="21"/>
              </w:rPr>
            </w:pP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0.0189</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0.0072</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0.0117</w:t>
            </w:r>
          </w:p>
        </w:tc>
      </w:tr>
      <w:tr w:rsidR="00B61E7A">
        <w:tc>
          <w:tcPr>
            <w:tcW w:w="1129"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2</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0.0161</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0.0115</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0.0047</w:t>
            </w:r>
          </w:p>
        </w:tc>
      </w:tr>
      <w:tr w:rsidR="00B61E7A">
        <w:tc>
          <w:tcPr>
            <w:tcW w:w="1129" w:type="dxa"/>
            <w:vMerge/>
            <w:tcBorders>
              <w:left w:val="single" w:sz="12" w:space="0" w:color="000000"/>
            </w:tcBorders>
            <w:vAlign w:val="center"/>
          </w:tcPr>
          <w:p w:rsidR="00B61E7A" w:rsidRDefault="00B61E7A">
            <w:pPr>
              <w:jc w:val="center"/>
              <w:rPr>
                <w:rFonts w:ascii="宋体" w:eastAsia="宋体" w:hAnsi="宋体"/>
                <w:szCs w:val="21"/>
              </w:rPr>
            </w:pP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0.0187</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0.0130</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0.0057</w:t>
            </w:r>
          </w:p>
        </w:tc>
      </w:tr>
      <w:tr w:rsidR="00B61E7A">
        <w:tc>
          <w:tcPr>
            <w:tcW w:w="1129"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3</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0.0290</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0.0276</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0.0014</w:t>
            </w:r>
          </w:p>
        </w:tc>
      </w:tr>
      <w:tr w:rsidR="00B61E7A">
        <w:tc>
          <w:tcPr>
            <w:tcW w:w="1129" w:type="dxa"/>
            <w:vMerge/>
            <w:tcBorders>
              <w:left w:val="single" w:sz="12" w:space="0" w:color="000000"/>
            </w:tcBorders>
            <w:vAlign w:val="center"/>
          </w:tcPr>
          <w:p w:rsidR="00B61E7A" w:rsidRDefault="00B61E7A">
            <w:pPr>
              <w:jc w:val="center"/>
              <w:rPr>
                <w:rFonts w:ascii="宋体" w:eastAsia="宋体" w:hAnsi="宋体"/>
                <w:szCs w:val="21"/>
              </w:rPr>
            </w:pP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0.0317</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0.0260</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0.0058</w:t>
            </w:r>
          </w:p>
        </w:tc>
      </w:tr>
      <w:tr w:rsidR="00B61E7A">
        <w:tc>
          <w:tcPr>
            <w:tcW w:w="1129"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4</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0.0203</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0.0124</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0.0079</w:t>
            </w:r>
          </w:p>
        </w:tc>
      </w:tr>
      <w:tr w:rsidR="00B61E7A">
        <w:tc>
          <w:tcPr>
            <w:tcW w:w="1129" w:type="dxa"/>
            <w:vMerge/>
            <w:tcBorders>
              <w:left w:val="single" w:sz="12" w:space="0" w:color="000000"/>
            </w:tcBorders>
            <w:vAlign w:val="center"/>
          </w:tcPr>
          <w:p w:rsidR="00B61E7A" w:rsidRDefault="00B61E7A">
            <w:pPr>
              <w:jc w:val="center"/>
              <w:rPr>
                <w:rFonts w:ascii="宋体" w:eastAsia="宋体" w:hAnsi="宋体"/>
                <w:szCs w:val="21"/>
              </w:rPr>
            </w:pP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0.0195</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0.0117</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0.0078</w:t>
            </w:r>
          </w:p>
        </w:tc>
      </w:tr>
      <w:tr w:rsidR="00B61E7A">
        <w:tc>
          <w:tcPr>
            <w:tcW w:w="1129"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5</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0.0055</w:t>
            </w:r>
          </w:p>
        </w:tc>
        <w:tc>
          <w:tcPr>
            <w:tcW w:w="2389" w:type="dxa"/>
            <w:vAlign w:val="center"/>
          </w:tcPr>
          <w:p w:rsidR="00B61E7A" w:rsidRDefault="000A50C9">
            <w:pPr>
              <w:jc w:val="center"/>
              <w:rPr>
                <w:rFonts w:ascii="宋体" w:eastAsia="宋体" w:hAnsi="宋体"/>
                <w:szCs w:val="21"/>
              </w:rPr>
            </w:pPr>
            <w:r>
              <w:rPr>
                <w:rFonts w:ascii="等线" w:eastAsia="等线" w:hAnsi="等线" w:hint="eastAsia"/>
                <w:color w:val="000000"/>
                <w:szCs w:val="21"/>
              </w:rPr>
              <w:t>0.0074</w:t>
            </w:r>
          </w:p>
        </w:tc>
        <w:tc>
          <w:tcPr>
            <w:tcW w:w="2389" w:type="dxa"/>
            <w:tcBorders>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-0.0020</w:t>
            </w:r>
          </w:p>
        </w:tc>
      </w:tr>
      <w:tr w:rsidR="00B61E7A">
        <w:tc>
          <w:tcPr>
            <w:tcW w:w="1129"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2389" w:type="dxa"/>
            <w:tcBorders>
              <w:bottom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0.0052</w:t>
            </w:r>
          </w:p>
        </w:tc>
        <w:tc>
          <w:tcPr>
            <w:tcW w:w="2389" w:type="dxa"/>
            <w:tcBorders>
              <w:bottom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0.0072</w:t>
            </w:r>
          </w:p>
        </w:tc>
        <w:tc>
          <w:tcPr>
            <w:tcW w:w="2389" w:type="dxa"/>
            <w:tcBorders>
              <w:bottom w:val="single" w:sz="12" w:space="0" w:color="000000"/>
              <w:right w:val="single" w:sz="12" w:space="0" w:color="000000"/>
            </w:tcBorders>
            <w:vAlign w:val="center"/>
          </w:tcPr>
          <w:p w:rsidR="00B61E7A" w:rsidRDefault="000A50C9">
            <w:pPr>
              <w:jc w:val="center"/>
              <w:rPr>
                <w:rFonts w:ascii="宋体" w:eastAsia="宋体" w:hAnsi="宋体"/>
                <w:szCs w:val="21"/>
              </w:rPr>
            </w:pPr>
            <w:r>
              <w:rPr>
                <w:rFonts w:ascii="等线" w:eastAsia="等线" w:hAnsi="等线" w:hint="eastAsia"/>
                <w:color w:val="000000"/>
                <w:szCs w:val="21"/>
              </w:rPr>
              <w:t>-0.0021</w:t>
            </w:r>
          </w:p>
        </w:tc>
      </w:tr>
    </w:tbl>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表8 超声前处理方式精密度和正确度验证数据</w:t>
      </w:r>
    </w:p>
    <w:tbl>
      <w:tblPr>
        <w:tblStyle w:val="a5"/>
        <w:tblW w:w="10508" w:type="dxa"/>
        <w:jc w:val="center"/>
        <w:tblLayout w:type="fixed"/>
        <w:tblLook w:val="04A0" w:firstRow="1" w:lastRow="0" w:firstColumn="1" w:lastColumn="0" w:noHBand="0" w:noVBand="1"/>
      </w:tblPr>
      <w:tblGrid>
        <w:gridCol w:w="662"/>
        <w:gridCol w:w="756"/>
        <w:gridCol w:w="1010"/>
        <w:gridCol w:w="1010"/>
        <w:gridCol w:w="1010"/>
        <w:gridCol w:w="1010"/>
        <w:gridCol w:w="1010"/>
        <w:gridCol w:w="1010"/>
        <w:gridCol w:w="1010"/>
        <w:gridCol w:w="1010"/>
        <w:gridCol w:w="1010"/>
      </w:tblGrid>
      <w:tr w:rsidR="00B61E7A">
        <w:trPr>
          <w:tblHeader/>
          <w:jc w:val="center"/>
        </w:trPr>
        <w:tc>
          <w:tcPr>
            <w:tcW w:w="1418" w:type="dxa"/>
            <w:gridSpan w:val="2"/>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编号</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1</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2</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3</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4</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5</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6</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7</w:t>
            </w:r>
          </w:p>
        </w:tc>
        <w:tc>
          <w:tcPr>
            <w:tcW w:w="1010"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平均值</w:t>
            </w:r>
          </w:p>
        </w:tc>
        <w:tc>
          <w:tcPr>
            <w:tcW w:w="1010" w:type="dxa"/>
            <w:tcBorders>
              <w:top w:val="single" w:sz="12" w:space="0" w:color="000000"/>
              <w:bottom w:val="single" w:sz="12" w:space="0" w:color="000000"/>
              <w:right w:val="single" w:sz="12" w:space="0" w:color="000000"/>
            </w:tcBorders>
          </w:tcPr>
          <w:p w:rsidR="00B61E7A" w:rsidRDefault="000A50C9">
            <w:pPr>
              <w:spacing w:line="360" w:lineRule="auto"/>
              <w:jc w:val="center"/>
              <w:rPr>
                <w:rFonts w:ascii="宋体" w:eastAsia="宋体" w:hAnsi="宋体"/>
                <w:szCs w:val="21"/>
              </w:rPr>
            </w:pPr>
            <w:r>
              <w:rPr>
                <w:rFonts w:ascii="宋体" w:eastAsia="宋体" w:hAnsi="宋体" w:hint="eastAsia"/>
                <w:szCs w:val="21"/>
              </w:rPr>
              <w:t>RSD%</w:t>
            </w:r>
          </w:p>
        </w:tc>
      </w:tr>
      <w:tr w:rsidR="00B61E7A">
        <w:trPr>
          <w:trHeight w:val="600"/>
          <w:jc w:val="center"/>
        </w:trPr>
        <w:tc>
          <w:tcPr>
            <w:tcW w:w="662" w:type="dxa"/>
            <w:vMerge w:val="restart"/>
            <w:tcBorders>
              <w:top w:val="single" w:sz="12" w:space="0" w:color="000000"/>
              <w:left w:val="single" w:sz="12" w:space="0" w:color="000000"/>
              <w:righ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加标1μg/kg</w:t>
            </w:r>
          </w:p>
        </w:tc>
        <w:tc>
          <w:tcPr>
            <w:tcW w:w="756" w:type="dxa"/>
            <w:tcBorders>
              <w:top w:val="single" w:sz="12" w:space="0" w:color="000000"/>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75.642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71.712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63.555</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66.948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70.831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68.593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73.990 </w:t>
            </w:r>
          </w:p>
        </w:tc>
        <w:tc>
          <w:tcPr>
            <w:tcW w:w="1010"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70.182 </w:t>
            </w:r>
          </w:p>
        </w:tc>
        <w:tc>
          <w:tcPr>
            <w:tcW w:w="1010" w:type="dxa"/>
            <w:vMerge w:val="restart"/>
            <w:tcBorders>
              <w:top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6.39</w:t>
            </w: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0.895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0.845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0.742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0.785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0.834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0.806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0.874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0.826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75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正确度%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89.52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84.54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74.19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78.49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83.42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80.58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87.43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82.59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9846" w:type="dxa"/>
            <w:gridSpan w:val="10"/>
            <w:tcBorders>
              <w:left w:val="single" w:sz="4" w:space="0" w:color="000000"/>
              <w:right w:val="single" w:sz="12" w:space="0" w:color="000000"/>
            </w:tcBorders>
            <w:vAlign w:val="center"/>
          </w:tcPr>
          <w:p w:rsidR="00B61E7A" w:rsidRDefault="000A50C9">
            <w:pPr>
              <w:spacing w:line="360" w:lineRule="auto"/>
              <w:jc w:val="center"/>
              <w:rPr>
                <w:rFonts w:ascii="宋体" w:eastAsia="宋体" w:hAnsi="宋体"/>
                <w:color w:val="000000"/>
                <w:szCs w:val="21"/>
              </w:rPr>
            </w:pPr>
            <w:r>
              <w:rPr>
                <w:rFonts w:ascii="宋体" w:eastAsia="宋体" w:hAnsi="宋体" w:hint="eastAsia"/>
                <w:color w:val="000000"/>
                <w:szCs w:val="21"/>
              </w:rPr>
              <w:t>重复性条件下获得的七次独立测定结果的极差为0.153，是算术平均值的18.53%。</w:t>
            </w:r>
          </w:p>
        </w:tc>
      </w:tr>
      <w:tr w:rsidR="00B61E7A">
        <w:trPr>
          <w:trHeight w:val="570"/>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加标2μg/kg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156.540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156.690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141.018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155.230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142.600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151.890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szCs w:val="21"/>
              </w:rPr>
              <w:t xml:space="preserve">145.960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149.990 </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4.63</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1.921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1.724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1.905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1.744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1.862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1.787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1.838 </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96.06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96.16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86.22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95.23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87.22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93.12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89.36 </w:t>
            </w:r>
          </w:p>
        </w:tc>
        <w:tc>
          <w:tcPr>
            <w:tcW w:w="1010"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91.91 </w:t>
            </w:r>
          </w:p>
        </w:tc>
        <w:tc>
          <w:tcPr>
            <w:tcW w:w="1010"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重复性条件下获得的七次独立测定结果的极差为0.199，是算术平均值的10.83%。</w:t>
            </w:r>
          </w:p>
        </w:tc>
      </w:tr>
      <w:tr w:rsidR="00B61E7A">
        <w:trPr>
          <w:trHeight w:val="711"/>
          <w:jc w:val="center"/>
        </w:trPr>
        <w:tc>
          <w:tcPr>
            <w:tcW w:w="662"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加标10μg/kg</w:t>
            </w: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强度</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797.155</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775.845</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785.312</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887.080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888.153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935.423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933.030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857.428 </w:t>
            </w:r>
          </w:p>
        </w:tc>
        <w:tc>
          <w:tcPr>
            <w:tcW w:w="1010"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8.17</w:t>
            </w: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浓度μg/L</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10.047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9.776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9.896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11.187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11.201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11.800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11.770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10.811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tcBorders>
            <w:vAlign w:val="center"/>
          </w:tcPr>
          <w:p w:rsidR="00B61E7A" w:rsidRDefault="00B61E7A">
            <w:pPr>
              <w:jc w:val="center"/>
              <w:rPr>
                <w:rFonts w:ascii="宋体" w:eastAsia="宋体" w:hAnsi="宋体"/>
                <w:szCs w:val="21"/>
              </w:rPr>
            </w:pPr>
          </w:p>
        </w:tc>
        <w:tc>
          <w:tcPr>
            <w:tcW w:w="75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100.47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97.76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98.96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111.87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112.01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118.00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117.70 </w:t>
            </w:r>
          </w:p>
        </w:tc>
        <w:tc>
          <w:tcPr>
            <w:tcW w:w="1010" w:type="dxa"/>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 xml:space="preserve">108.11 </w:t>
            </w:r>
          </w:p>
        </w:tc>
        <w:tc>
          <w:tcPr>
            <w:tcW w:w="1010"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662"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重复性条件下获得的七次独立测定结果的极差为2.024，是算术平均值的18.72%。</w:t>
            </w:r>
          </w:p>
        </w:tc>
      </w:tr>
    </w:tbl>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3.3 有机硒测定验证</w:t>
      </w:r>
    </w:p>
    <w:p w:rsidR="00B61E7A" w:rsidRDefault="000A50C9">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选用甲基硒代半胱氨酸作为有机硒标准物质，无机硒选用带有国家认证并授予标准物质证书的标准物质。进行加标回收率数据验证。见表9和表10。湿法消解有机硒测定的</w:t>
      </w:r>
      <w:r>
        <w:rPr>
          <w:rFonts w:ascii="宋体" w:eastAsia="宋体" w:hAnsi="宋体" w:hint="eastAsia"/>
          <w:sz w:val="24"/>
          <w:szCs w:val="24"/>
        </w:rPr>
        <w:t>回收率在83.6%</w:t>
      </w:r>
      <w:r>
        <w:rPr>
          <w:rFonts w:ascii="Times New Roman" w:eastAsia="宋体" w:hAnsi="Times New Roman" w:cs="Times New Roman" w:hint="eastAsia"/>
          <w:sz w:val="24"/>
          <w:szCs w:val="24"/>
        </w:rPr>
        <w:t>~</w:t>
      </w:r>
      <w:r>
        <w:rPr>
          <w:rFonts w:ascii="宋体" w:eastAsia="宋体" w:hAnsi="宋体" w:hint="eastAsia"/>
          <w:sz w:val="24"/>
          <w:szCs w:val="24"/>
        </w:rPr>
        <w:t>119.4%之间，RSD在3.53%</w:t>
      </w:r>
      <w:r>
        <w:rPr>
          <w:rFonts w:ascii="Times New Roman" w:eastAsia="宋体" w:hAnsi="Times New Roman" w:cs="Times New Roman"/>
          <w:sz w:val="24"/>
          <w:szCs w:val="24"/>
        </w:rPr>
        <w:t>~</w:t>
      </w:r>
      <w:r>
        <w:rPr>
          <w:rFonts w:ascii="宋体" w:eastAsia="宋体" w:hAnsi="宋体" w:hint="eastAsia"/>
          <w:sz w:val="24"/>
          <w:szCs w:val="24"/>
        </w:rPr>
        <w:t>6.24%之间。微波</w:t>
      </w:r>
      <w:r>
        <w:rPr>
          <w:rFonts w:ascii="宋体" w:eastAsia="宋体" w:hAnsi="宋体" w:cs="Times New Roman" w:hint="eastAsia"/>
          <w:sz w:val="24"/>
          <w:szCs w:val="24"/>
        </w:rPr>
        <w:lastRenderedPageBreak/>
        <w:t>消解有机硒测定的</w:t>
      </w:r>
      <w:r>
        <w:rPr>
          <w:rFonts w:ascii="宋体" w:eastAsia="宋体" w:hAnsi="宋体" w:hint="eastAsia"/>
          <w:sz w:val="24"/>
          <w:szCs w:val="24"/>
        </w:rPr>
        <w:t>回收率在70.5%</w:t>
      </w:r>
      <w:r>
        <w:rPr>
          <w:rFonts w:ascii="Times New Roman" w:eastAsia="宋体" w:hAnsi="Times New Roman" w:cs="Times New Roman" w:hint="eastAsia"/>
          <w:sz w:val="24"/>
          <w:szCs w:val="24"/>
        </w:rPr>
        <w:t>~</w:t>
      </w:r>
      <w:r>
        <w:rPr>
          <w:rFonts w:ascii="宋体" w:eastAsia="宋体" w:hAnsi="宋体" w:hint="eastAsia"/>
          <w:sz w:val="24"/>
          <w:szCs w:val="24"/>
        </w:rPr>
        <w:t>114.9%之间，RSD在1.36%</w:t>
      </w:r>
      <w:r>
        <w:rPr>
          <w:rFonts w:ascii="Times New Roman" w:eastAsia="宋体" w:hAnsi="Times New Roman" w:cs="Times New Roman"/>
          <w:sz w:val="24"/>
          <w:szCs w:val="24"/>
        </w:rPr>
        <w:t>~</w:t>
      </w:r>
      <w:r>
        <w:rPr>
          <w:rFonts w:ascii="宋体" w:eastAsia="宋体" w:hAnsi="宋体" w:hint="eastAsia"/>
          <w:sz w:val="24"/>
          <w:szCs w:val="24"/>
        </w:rPr>
        <w:t>2.98%之间。均满足GB/T 27417-2017的要求。</w:t>
      </w:r>
    </w:p>
    <w:p w:rsidR="00B61E7A" w:rsidRDefault="000A50C9">
      <w:pPr>
        <w:spacing w:line="360" w:lineRule="auto"/>
        <w:ind w:firstLineChars="200" w:firstLine="480"/>
        <w:jc w:val="center"/>
        <w:rPr>
          <w:rFonts w:ascii="宋体" w:eastAsia="宋体" w:hAnsi="宋体" w:cs="Times New Roman"/>
          <w:sz w:val="24"/>
          <w:szCs w:val="24"/>
        </w:rPr>
      </w:pPr>
      <w:r>
        <w:rPr>
          <w:rFonts w:ascii="宋体" w:eastAsia="宋体" w:hAnsi="宋体" w:cs="Times New Roman" w:hint="eastAsia"/>
          <w:sz w:val="24"/>
          <w:szCs w:val="24"/>
        </w:rPr>
        <w:t>表9 有机硒测定精密度和正确度验证（湿法消解）</w:t>
      </w:r>
    </w:p>
    <w:tbl>
      <w:tblPr>
        <w:tblStyle w:val="a5"/>
        <w:tblW w:w="10822" w:type="dxa"/>
        <w:jc w:val="center"/>
        <w:tblLayout w:type="fixed"/>
        <w:tblLook w:val="04A0" w:firstRow="1" w:lastRow="0" w:firstColumn="1" w:lastColumn="0" w:noHBand="0" w:noVBand="1"/>
      </w:tblPr>
      <w:tblGrid>
        <w:gridCol w:w="976"/>
        <w:gridCol w:w="1166"/>
        <w:gridCol w:w="964"/>
        <w:gridCol w:w="964"/>
        <w:gridCol w:w="965"/>
        <w:gridCol w:w="964"/>
        <w:gridCol w:w="965"/>
        <w:gridCol w:w="964"/>
        <w:gridCol w:w="965"/>
        <w:gridCol w:w="964"/>
        <w:gridCol w:w="965"/>
      </w:tblGrid>
      <w:tr w:rsidR="00B61E7A">
        <w:trPr>
          <w:tblHeader/>
          <w:jc w:val="center"/>
        </w:trPr>
        <w:tc>
          <w:tcPr>
            <w:tcW w:w="2142" w:type="dxa"/>
            <w:gridSpan w:val="2"/>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编号</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1</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2</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3</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4</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5</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6</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7</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平均值</w:t>
            </w:r>
          </w:p>
        </w:tc>
        <w:tc>
          <w:tcPr>
            <w:tcW w:w="965" w:type="dxa"/>
            <w:tcBorders>
              <w:top w:val="single" w:sz="12" w:space="0" w:color="000000"/>
              <w:bottom w:val="single" w:sz="12" w:space="0" w:color="000000"/>
              <w:right w:val="single" w:sz="12" w:space="0" w:color="000000"/>
            </w:tcBorders>
          </w:tcPr>
          <w:p w:rsidR="00B61E7A" w:rsidRDefault="000A50C9">
            <w:pPr>
              <w:jc w:val="center"/>
              <w:rPr>
                <w:rFonts w:ascii="宋体" w:eastAsia="宋体" w:hAnsi="宋体"/>
                <w:szCs w:val="21"/>
              </w:rPr>
            </w:pPr>
            <w:r>
              <w:rPr>
                <w:rFonts w:ascii="宋体" w:eastAsia="宋体" w:hAnsi="宋体" w:hint="eastAsia"/>
                <w:szCs w:val="21"/>
              </w:rPr>
              <w:t>有机硒RSD%</w:t>
            </w:r>
          </w:p>
        </w:tc>
      </w:tr>
      <w:tr w:rsidR="00B61E7A">
        <w:trPr>
          <w:trHeight w:val="600"/>
          <w:jc w:val="center"/>
        </w:trPr>
        <w:tc>
          <w:tcPr>
            <w:tcW w:w="976" w:type="dxa"/>
            <w:vMerge w:val="restart"/>
            <w:tcBorders>
              <w:top w:val="single" w:sz="12" w:space="0" w:color="000000"/>
              <w:left w:val="single" w:sz="12" w:space="0" w:color="000000"/>
              <w:righ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加标：无机硒2μg/kg，有机硒2μg/ kg</w:t>
            </w:r>
          </w:p>
        </w:tc>
        <w:tc>
          <w:tcPr>
            <w:tcW w:w="1166" w:type="dxa"/>
            <w:tcBorders>
              <w:top w:val="single" w:sz="12" w:space="0" w:color="000000"/>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 xml:space="preserve">总硒浓度μg/L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3.956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3.959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3.852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4.095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3.985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3.905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3.957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3.958 </w:t>
            </w:r>
          </w:p>
        </w:tc>
        <w:tc>
          <w:tcPr>
            <w:tcW w:w="965" w:type="dxa"/>
            <w:vMerge w:val="restart"/>
            <w:tcBorders>
              <w:top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6.24</w:t>
            </w:r>
          </w:p>
        </w:tc>
      </w:tr>
      <w:tr w:rsidR="00B61E7A">
        <w:trPr>
          <w:jc w:val="center"/>
        </w:trPr>
        <w:tc>
          <w:tcPr>
            <w:tcW w:w="976"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无机硒浓度μg/L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1.724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1.905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1.744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1.862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1.787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1.838 </w:t>
            </w:r>
          </w:p>
        </w:tc>
        <w:tc>
          <w:tcPr>
            <w:tcW w:w="965"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976"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有机硒浓度μg/L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1.900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2.086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2.036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2.168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2.110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1.948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1.818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2.046 </w:t>
            </w:r>
          </w:p>
        </w:tc>
        <w:tc>
          <w:tcPr>
            <w:tcW w:w="965"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976"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107.09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97.96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104.51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101.03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106.15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104.85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119.36</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105.51 </w:t>
            </w:r>
          </w:p>
        </w:tc>
        <w:tc>
          <w:tcPr>
            <w:tcW w:w="965" w:type="dxa"/>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w:t>
            </w:r>
          </w:p>
        </w:tc>
      </w:tr>
      <w:tr w:rsidR="00B61E7A">
        <w:trPr>
          <w:jc w:val="center"/>
        </w:trPr>
        <w:tc>
          <w:tcPr>
            <w:tcW w:w="976"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9846" w:type="dxa"/>
            <w:gridSpan w:val="10"/>
            <w:tcBorders>
              <w:left w:val="single" w:sz="4"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重复性条件下获得的七次独立测定结果的极差为0.350，是算术平均值的17.42%。</w:t>
            </w:r>
          </w:p>
        </w:tc>
      </w:tr>
      <w:tr w:rsidR="00B61E7A">
        <w:trPr>
          <w:trHeight w:val="570"/>
          <w:jc w:val="center"/>
        </w:trPr>
        <w:tc>
          <w:tcPr>
            <w:tcW w:w="976"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加标：无机硒4μg/kg，有机硒4μg/kg</w:t>
            </w: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 xml:space="preserve">总硒浓度μg/L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8.222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8.295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8.458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8.490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8.507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8.459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8.792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8.460 </w:t>
            </w:r>
          </w:p>
        </w:tc>
        <w:tc>
          <w:tcPr>
            <w:tcW w:w="965"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3.53</w:t>
            </w:r>
          </w:p>
        </w:tc>
      </w:tr>
      <w:tr w:rsidR="00B61E7A">
        <w:trPr>
          <w:jc w:val="center"/>
        </w:trPr>
        <w:tc>
          <w:tcPr>
            <w:tcW w:w="976"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无机硒浓度μg/L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4.312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4.665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4.319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4.117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3.878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3.744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4.661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4.242 </w:t>
            </w:r>
          </w:p>
        </w:tc>
        <w:tc>
          <w:tcPr>
            <w:tcW w:w="965"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976"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有机硒浓度μg/L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4.678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4.244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4.339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4.268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4.257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4.378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4.272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4.348 </w:t>
            </w:r>
          </w:p>
        </w:tc>
        <w:tc>
          <w:tcPr>
            <w:tcW w:w="965"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976"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83.58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85.55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95.40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102.46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108.75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107.68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96.71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97.02</w:t>
            </w:r>
          </w:p>
        </w:tc>
        <w:tc>
          <w:tcPr>
            <w:tcW w:w="965" w:type="dxa"/>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w:t>
            </w:r>
          </w:p>
        </w:tc>
      </w:tr>
      <w:tr w:rsidR="00B61E7A">
        <w:trPr>
          <w:jc w:val="center"/>
        </w:trPr>
        <w:tc>
          <w:tcPr>
            <w:tcW w:w="976"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重复性条件下获得的七次独立测定结果的极差为0.434，是算术平均值的9.98%。</w:t>
            </w:r>
          </w:p>
        </w:tc>
      </w:tr>
    </w:tbl>
    <w:p w:rsidR="00B61E7A" w:rsidRDefault="000A50C9">
      <w:pPr>
        <w:spacing w:line="360" w:lineRule="auto"/>
        <w:ind w:firstLineChars="200" w:firstLine="480"/>
        <w:jc w:val="center"/>
        <w:rPr>
          <w:rFonts w:ascii="宋体" w:eastAsia="宋体" w:hAnsi="宋体" w:cs="Times New Roman"/>
          <w:sz w:val="24"/>
          <w:szCs w:val="24"/>
        </w:rPr>
      </w:pPr>
      <w:r>
        <w:rPr>
          <w:rFonts w:ascii="宋体" w:eastAsia="宋体" w:hAnsi="宋体" w:cs="Times New Roman" w:hint="eastAsia"/>
          <w:sz w:val="24"/>
          <w:szCs w:val="24"/>
        </w:rPr>
        <w:t>表10 有机硒测定精密度和正确度验证（微波消解）</w:t>
      </w:r>
    </w:p>
    <w:tbl>
      <w:tblPr>
        <w:tblStyle w:val="a5"/>
        <w:tblW w:w="10807" w:type="dxa"/>
        <w:jc w:val="center"/>
        <w:tblLayout w:type="fixed"/>
        <w:tblLook w:val="04A0" w:firstRow="1" w:lastRow="0" w:firstColumn="1" w:lastColumn="0" w:noHBand="0" w:noVBand="1"/>
      </w:tblPr>
      <w:tblGrid>
        <w:gridCol w:w="961"/>
        <w:gridCol w:w="1166"/>
        <w:gridCol w:w="964"/>
        <w:gridCol w:w="964"/>
        <w:gridCol w:w="965"/>
        <w:gridCol w:w="964"/>
        <w:gridCol w:w="965"/>
        <w:gridCol w:w="964"/>
        <w:gridCol w:w="965"/>
        <w:gridCol w:w="964"/>
        <w:gridCol w:w="965"/>
      </w:tblGrid>
      <w:tr w:rsidR="00B61E7A">
        <w:trPr>
          <w:tblHeader/>
          <w:jc w:val="center"/>
        </w:trPr>
        <w:tc>
          <w:tcPr>
            <w:tcW w:w="2127" w:type="dxa"/>
            <w:gridSpan w:val="2"/>
            <w:tcBorders>
              <w:top w:val="single" w:sz="12" w:space="0" w:color="000000"/>
              <w:left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编号</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1</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2</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3</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4</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5</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6</w:t>
            </w:r>
          </w:p>
        </w:tc>
        <w:tc>
          <w:tcPr>
            <w:tcW w:w="965"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7</w:t>
            </w:r>
          </w:p>
        </w:tc>
        <w:tc>
          <w:tcPr>
            <w:tcW w:w="964" w:type="dxa"/>
            <w:tcBorders>
              <w:top w:val="single" w:sz="12" w:space="0" w:color="000000"/>
              <w:bottom w:val="single" w:sz="12" w:space="0" w:color="000000"/>
            </w:tcBorders>
            <w:vAlign w:val="center"/>
          </w:tcPr>
          <w:p w:rsidR="00B61E7A" w:rsidRDefault="000A50C9">
            <w:pPr>
              <w:spacing w:line="360" w:lineRule="auto"/>
              <w:jc w:val="center"/>
              <w:rPr>
                <w:rFonts w:ascii="宋体" w:eastAsia="宋体" w:hAnsi="宋体"/>
                <w:szCs w:val="21"/>
              </w:rPr>
            </w:pPr>
            <w:r>
              <w:rPr>
                <w:rFonts w:ascii="宋体" w:eastAsia="宋体" w:hAnsi="宋体" w:hint="eastAsia"/>
                <w:szCs w:val="21"/>
              </w:rPr>
              <w:t>平均值</w:t>
            </w:r>
          </w:p>
        </w:tc>
        <w:tc>
          <w:tcPr>
            <w:tcW w:w="965" w:type="dxa"/>
            <w:tcBorders>
              <w:top w:val="single" w:sz="12" w:space="0" w:color="000000"/>
              <w:bottom w:val="single" w:sz="12" w:space="0" w:color="000000"/>
              <w:right w:val="single" w:sz="12" w:space="0" w:color="000000"/>
            </w:tcBorders>
          </w:tcPr>
          <w:p w:rsidR="00B61E7A" w:rsidRDefault="000A50C9">
            <w:pPr>
              <w:jc w:val="center"/>
              <w:rPr>
                <w:rFonts w:ascii="宋体" w:eastAsia="宋体" w:hAnsi="宋体"/>
                <w:szCs w:val="21"/>
              </w:rPr>
            </w:pPr>
            <w:r>
              <w:rPr>
                <w:rFonts w:ascii="宋体" w:eastAsia="宋体" w:hAnsi="宋体" w:hint="eastAsia"/>
                <w:szCs w:val="21"/>
              </w:rPr>
              <w:t>有机硒RSD%</w:t>
            </w:r>
          </w:p>
        </w:tc>
      </w:tr>
      <w:tr w:rsidR="00B61E7A">
        <w:trPr>
          <w:trHeight w:val="600"/>
          <w:jc w:val="center"/>
        </w:trPr>
        <w:tc>
          <w:tcPr>
            <w:tcW w:w="961" w:type="dxa"/>
            <w:vMerge w:val="restart"/>
            <w:tcBorders>
              <w:top w:val="single" w:sz="12" w:space="0" w:color="000000"/>
              <w:left w:val="single" w:sz="12" w:space="0" w:color="000000"/>
              <w:righ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加标：无机硒2μg/kg，有机硒2μg/kg</w:t>
            </w:r>
          </w:p>
        </w:tc>
        <w:tc>
          <w:tcPr>
            <w:tcW w:w="1166" w:type="dxa"/>
            <w:tcBorders>
              <w:top w:val="single" w:sz="12" w:space="0" w:color="000000"/>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 xml:space="preserve">总硒浓度μg/L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3.405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3.476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3.573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3.486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3.520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3.371 </w:t>
            </w:r>
          </w:p>
        </w:tc>
        <w:tc>
          <w:tcPr>
            <w:tcW w:w="965"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3.432 </w:t>
            </w:r>
          </w:p>
        </w:tc>
        <w:tc>
          <w:tcPr>
            <w:tcW w:w="964" w:type="dxa"/>
            <w:tcBorders>
              <w:top w:val="single" w:sz="12" w:space="0" w:color="000000"/>
            </w:tcBorders>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3.466 </w:t>
            </w:r>
          </w:p>
        </w:tc>
        <w:tc>
          <w:tcPr>
            <w:tcW w:w="965" w:type="dxa"/>
            <w:vMerge w:val="restart"/>
            <w:tcBorders>
              <w:top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2.98</w:t>
            </w:r>
          </w:p>
        </w:tc>
      </w:tr>
      <w:tr w:rsidR="00B61E7A">
        <w:trPr>
          <w:jc w:val="center"/>
        </w:trPr>
        <w:tc>
          <w:tcPr>
            <w:tcW w:w="961"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无机硒浓度μg/L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1.923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1.724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1.905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1.744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1.862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1.787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1.838 </w:t>
            </w:r>
          </w:p>
        </w:tc>
        <w:tc>
          <w:tcPr>
            <w:tcW w:w="965"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961"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有机硒浓度μg/L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1.577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1.710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1.609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1.630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1.613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1.682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1.592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1.630 </w:t>
            </w:r>
          </w:p>
        </w:tc>
        <w:tc>
          <w:tcPr>
            <w:tcW w:w="965" w:type="dxa"/>
            <w:vMerge/>
            <w:tcBorders>
              <w:right w:val="single" w:sz="12" w:space="0" w:color="000000"/>
            </w:tcBorders>
          </w:tcPr>
          <w:p w:rsidR="00B61E7A" w:rsidRDefault="00B61E7A">
            <w:pPr>
              <w:spacing w:line="360" w:lineRule="auto"/>
              <w:jc w:val="center"/>
              <w:rPr>
                <w:rFonts w:ascii="等线" w:eastAsia="等线" w:hAnsi="等线"/>
                <w:color w:val="000000"/>
                <w:szCs w:val="21"/>
              </w:rPr>
            </w:pPr>
          </w:p>
        </w:tc>
      </w:tr>
      <w:tr w:rsidR="00B61E7A">
        <w:trPr>
          <w:jc w:val="center"/>
        </w:trPr>
        <w:tc>
          <w:tcPr>
            <w:tcW w:w="961"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1166" w:type="dxa"/>
            <w:tcBorders>
              <w:left w:val="single" w:sz="4"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94.11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90.77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114.92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97.03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110.06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89.67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103.28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99.98 </w:t>
            </w:r>
          </w:p>
        </w:tc>
        <w:tc>
          <w:tcPr>
            <w:tcW w:w="965" w:type="dxa"/>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w:t>
            </w:r>
          </w:p>
        </w:tc>
      </w:tr>
      <w:tr w:rsidR="00B61E7A">
        <w:trPr>
          <w:jc w:val="center"/>
        </w:trPr>
        <w:tc>
          <w:tcPr>
            <w:tcW w:w="961" w:type="dxa"/>
            <w:vMerge/>
            <w:tcBorders>
              <w:left w:val="single" w:sz="12" w:space="0" w:color="000000"/>
              <w:right w:val="single" w:sz="4" w:space="0" w:color="000000"/>
            </w:tcBorders>
            <w:vAlign w:val="center"/>
          </w:tcPr>
          <w:p w:rsidR="00B61E7A" w:rsidRDefault="00B61E7A">
            <w:pPr>
              <w:jc w:val="center"/>
              <w:rPr>
                <w:rFonts w:ascii="宋体" w:eastAsia="宋体" w:hAnsi="宋体"/>
                <w:szCs w:val="21"/>
              </w:rPr>
            </w:pPr>
          </w:p>
        </w:tc>
        <w:tc>
          <w:tcPr>
            <w:tcW w:w="9846" w:type="dxa"/>
            <w:gridSpan w:val="10"/>
            <w:tcBorders>
              <w:left w:val="single" w:sz="4"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重复性条件下获得的七次独立测定结果的极差为0.133，是算术平均值的8.16%。</w:t>
            </w:r>
          </w:p>
        </w:tc>
      </w:tr>
      <w:tr w:rsidR="00B61E7A">
        <w:trPr>
          <w:trHeight w:val="570"/>
          <w:jc w:val="center"/>
        </w:trPr>
        <w:tc>
          <w:tcPr>
            <w:tcW w:w="961" w:type="dxa"/>
            <w:vMerge w:val="restart"/>
            <w:tcBorders>
              <w:left w:val="single" w:sz="12" w:space="0" w:color="000000"/>
            </w:tcBorders>
            <w:vAlign w:val="center"/>
          </w:tcPr>
          <w:p w:rsidR="00B61E7A" w:rsidRDefault="000A50C9">
            <w:pPr>
              <w:jc w:val="center"/>
              <w:rPr>
                <w:rFonts w:ascii="宋体" w:eastAsia="宋体" w:hAnsi="宋体"/>
                <w:szCs w:val="21"/>
              </w:rPr>
            </w:pPr>
            <w:r>
              <w:rPr>
                <w:rFonts w:ascii="宋体" w:eastAsia="宋体" w:hAnsi="宋体" w:hint="eastAsia"/>
                <w:szCs w:val="21"/>
              </w:rPr>
              <w:t>加标：无机硒4μg/kg，有机硒4μg/kg</w:t>
            </w: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 xml:space="preserve">总硒浓度μg/L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6.882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7.113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7.139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7.352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7.255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7.179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7.257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7.168 </w:t>
            </w:r>
          </w:p>
        </w:tc>
        <w:tc>
          <w:tcPr>
            <w:tcW w:w="965" w:type="dxa"/>
            <w:vMerge w:val="restart"/>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1.36</w:t>
            </w:r>
          </w:p>
        </w:tc>
      </w:tr>
      <w:tr w:rsidR="00B61E7A">
        <w:trPr>
          <w:jc w:val="center"/>
        </w:trPr>
        <w:tc>
          <w:tcPr>
            <w:tcW w:w="961"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无机硒浓度μg/L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4.312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3.878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4.319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4.117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4.665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3.744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4.661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4.242 </w:t>
            </w:r>
          </w:p>
        </w:tc>
        <w:tc>
          <w:tcPr>
            <w:tcW w:w="965"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961"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有机硒浓度μg/L</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3.597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3.571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3.607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3.710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3.614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3.643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3.681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3.632 </w:t>
            </w:r>
          </w:p>
        </w:tc>
        <w:tc>
          <w:tcPr>
            <w:tcW w:w="965" w:type="dxa"/>
            <w:vMerge/>
            <w:tcBorders>
              <w:right w:val="single" w:sz="12" w:space="0" w:color="000000"/>
            </w:tcBorders>
            <w:vAlign w:val="center"/>
          </w:tcPr>
          <w:p w:rsidR="00B61E7A" w:rsidRDefault="00B61E7A">
            <w:pPr>
              <w:spacing w:line="360" w:lineRule="auto"/>
              <w:jc w:val="center"/>
              <w:rPr>
                <w:rFonts w:ascii="等线" w:eastAsia="等线" w:hAnsi="等线"/>
                <w:color w:val="000000"/>
                <w:szCs w:val="21"/>
              </w:rPr>
            </w:pPr>
          </w:p>
        </w:tc>
      </w:tr>
      <w:tr w:rsidR="00B61E7A">
        <w:trPr>
          <w:jc w:val="center"/>
        </w:trPr>
        <w:tc>
          <w:tcPr>
            <w:tcW w:w="961" w:type="dxa"/>
            <w:vMerge/>
            <w:tcBorders>
              <w:left w:val="single" w:sz="12" w:space="0" w:color="000000"/>
            </w:tcBorders>
            <w:vAlign w:val="center"/>
          </w:tcPr>
          <w:p w:rsidR="00B61E7A" w:rsidRDefault="00B61E7A">
            <w:pPr>
              <w:jc w:val="center"/>
              <w:rPr>
                <w:rFonts w:ascii="宋体" w:eastAsia="宋体" w:hAnsi="宋体"/>
                <w:szCs w:val="21"/>
              </w:rPr>
            </w:pPr>
          </w:p>
        </w:tc>
        <w:tc>
          <w:tcPr>
            <w:tcW w:w="1166" w:type="dxa"/>
            <w:vAlign w:val="center"/>
          </w:tcPr>
          <w:p w:rsidR="00B61E7A" w:rsidRDefault="000A50C9">
            <w:pPr>
              <w:jc w:val="center"/>
              <w:rPr>
                <w:rFonts w:ascii="宋体" w:eastAsia="宋体" w:hAnsi="宋体"/>
                <w:szCs w:val="21"/>
              </w:rPr>
            </w:pPr>
            <w:r>
              <w:rPr>
                <w:rFonts w:ascii="宋体" w:eastAsia="宋体" w:hAnsi="宋体" w:hint="eastAsia"/>
                <w:szCs w:val="21"/>
              </w:rPr>
              <w:t>回收率%</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71.45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90.59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78.18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87.20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71.68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94.29 </w:t>
            </w:r>
          </w:p>
        </w:tc>
        <w:tc>
          <w:tcPr>
            <w:tcW w:w="965"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70.52 </w:t>
            </w:r>
          </w:p>
        </w:tc>
        <w:tc>
          <w:tcPr>
            <w:tcW w:w="964" w:type="dxa"/>
            <w:vAlign w:val="center"/>
          </w:tcPr>
          <w:p w:rsidR="00B61E7A" w:rsidRDefault="000A50C9">
            <w:pPr>
              <w:spacing w:line="360" w:lineRule="auto"/>
              <w:jc w:val="center"/>
              <w:rPr>
                <w:rFonts w:ascii="宋体" w:eastAsia="宋体" w:hAnsi="宋体"/>
                <w:szCs w:val="21"/>
              </w:rPr>
            </w:pPr>
            <w:r>
              <w:rPr>
                <w:rFonts w:ascii="等线" w:eastAsia="等线" w:hAnsi="等线" w:hint="eastAsia"/>
                <w:color w:val="000000"/>
                <w:szCs w:val="21"/>
              </w:rPr>
              <w:t xml:space="preserve">80.56 </w:t>
            </w:r>
          </w:p>
        </w:tc>
        <w:tc>
          <w:tcPr>
            <w:tcW w:w="965" w:type="dxa"/>
            <w:tcBorders>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等线" w:eastAsia="等线" w:hAnsi="等线" w:hint="eastAsia"/>
                <w:color w:val="000000"/>
                <w:szCs w:val="21"/>
              </w:rPr>
              <w:t>——</w:t>
            </w:r>
          </w:p>
        </w:tc>
      </w:tr>
      <w:tr w:rsidR="00B61E7A">
        <w:trPr>
          <w:jc w:val="center"/>
        </w:trPr>
        <w:tc>
          <w:tcPr>
            <w:tcW w:w="961" w:type="dxa"/>
            <w:vMerge/>
            <w:tcBorders>
              <w:left w:val="single" w:sz="12" w:space="0" w:color="000000"/>
              <w:bottom w:val="single" w:sz="12" w:space="0" w:color="000000"/>
            </w:tcBorders>
            <w:vAlign w:val="center"/>
          </w:tcPr>
          <w:p w:rsidR="00B61E7A" w:rsidRDefault="00B61E7A">
            <w:pPr>
              <w:jc w:val="center"/>
              <w:rPr>
                <w:rFonts w:ascii="宋体" w:eastAsia="宋体" w:hAnsi="宋体"/>
                <w:szCs w:val="21"/>
              </w:rPr>
            </w:pPr>
          </w:p>
        </w:tc>
        <w:tc>
          <w:tcPr>
            <w:tcW w:w="9846" w:type="dxa"/>
            <w:gridSpan w:val="10"/>
            <w:tcBorders>
              <w:bottom w:val="single" w:sz="12" w:space="0" w:color="000000"/>
              <w:right w:val="single" w:sz="12" w:space="0" w:color="000000"/>
            </w:tcBorders>
            <w:vAlign w:val="center"/>
          </w:tcPr>
          <w:p w:rsidR="00B61E7A" w:rsidRDefault="000A50C9">
            <w:pPr>
              <w:spacing w:line="360" w:lineRule="auto"/>
              <w:jc w:val="center"/>
              <w:rPr>
                <w:rFonts w:ascii="等线" w:eastAsia="等线" w:hAnsi="等线"/>
                <w:color w:val="000000"/>
                <w:szCs w:val="21"/>
              </w:rPr>
            </w:pPr>
            <w:r>
              <w:rPr>
                <w:rFonts w:ascii="宋体" w:eastAsia="宋体" w:hAnsi="宋体" w:hint="eastAsia"/>
                <w:color w:val="000000"/>
                <w:szCs w:val="21"/>
              </w:rPr>
              <w:t>重复性条件下获得的七次独立测定结果的极差为0.139，是算术平均值的3.83%。</w:t>
            </w:r>
          </w:p>
        </w:tc>
      </w:tr>
    </w:tbl>
    <w:p w:rsidR="00B61E7A" w:rsidRDefault="00B61E7A">
      <w:pPr>
        <w:spacing w:line="360" w:lineRule="auto"/>
        <w:ind w:firstLineChars="200" w:firstLine="480"/>
        <w:rPr>
          <w:rFonts w:ascii="宋体" w:eastAsia="宋体" w:hAnsi="宋体"/>
          <w:sz w:val="24"/>
          <w:szCs w:val="24"/>
        </w:rPr>
      </w:pP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综合表5、表6、表8、表9、表10的检测数据，将精密度要求定为“在重复性条件下获得的2次独立测定结果的绝对差值不得超过算数平均值的20%。”</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3.4 样品检测</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标准起草组随机选取5个富硒食用盐进行硒含量的检测。分别进行了微波消解和湿法消解两种前处理方式。数据见表11和表12。可见5种富硒食用盐中总硒含量均可满足国家标准要求。</w:t>
      </w:r>
    </w:p>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表11 富硒食用盐中总硒、有机硒、无机硒含量（微波消解）</w:t>
      </w:r>
    </w:p>
    <w:tbl>
      <w:tblPr>
        <w:tblStyle w:val="a5"/>
        <w:tblW w:w="8926" w:type="dxa"/>
        <w:tblLook w:val="04A0" w:firstRow="1" w:lastRow="0" w:firstColumn="1" w:lastColumn="0" w:noHBand="0" w:noVBand="1"/>
      </w:tblPr>
      <w:tblGrid>
        <w:gridCol w:w="846"/>
        <w:gridCol w:w="1238"/>
        <w:gridCol w:w="1042"/>
        <w:gridCol w:w="1043"/>
        <w:gridCol w:w="1043"/>
        <w:gridCol w:w="1043"/>
        <w:gridCol w:w="1043"/>
        <w:gridCol w:w="1628"/>
      </w:tblGrid>
      <w:tr w:rsidR="00B61E7A">
        <w:tc>
          <w:tcPr>
            <w:tcW w:w="846" w:type="dxa"/>
            <w:vMerge w:val="restart"/>
            <w:tcBorders>
              <w:top w:val="single" w:sz="12" w:space="0" w:color="auto"/>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样品编号</w:t>
            </w:r>
          </w:p>
        </w:tc>
        <w:tc>
          <w:tcPr>
            <w:tcW w:w="3323" w:type="dxa"/>
            <w:gridSpan w:val="3"/>
            <w:tcBorders>
              <w:top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总硒含量（</w:t>
            </w:r>
            <w:r>
              <w:rPr>
                <w:rFonts w:ascii="宋体" w:eastAsia="宋体" w:hAnsi="宋体" w:hint="eastAsia"/>
                <w:szCs w:val="21"/>
              </w:rPr>
              <w:t>μg/kg</w:t>
            </w:r>
            <w:r>
              <w:rPr>
                <w:rFonts w:ascii="宋体" w:eastAsia="宋体" w:hAnsi="宋体" w:hint="eastAsia"/>
                <w:sz w:val="24"/>
                <w:szCs w:val="24"/>
              </w:rPr>
              <w:t>）</w:t>
            </w:r>
          </w:p>
        </w:tc>
        <w:tc>
          <w:tcPr>
            <w:tcW w:w="3129" w:type="dxa"/>
            <w:gridSpan w:val="3"/>
            <w:tcBorders>
              <w:top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无机硒含量（</w:t>
            </w:r>
            <w:r>
              <w:rPr>
                <w:rFonts w:ascii="宋体" w:eastAsia="宋体" w:hAnsi="宋体" w:hint="eastAsia"/>
                <w:szCs w:val="21"/>
              </w:rPr>
              <w:t>μg/kg</w:t>
            </w:r>
            <w:r>
              <w:rPr>
                <w:rFonts w:ascii="宋体" w:eastAsia="宋体" w:hAnsi="宋体" w:hint="eastAsia"/>
                <w:sz w:val="24"/>
                <w:szCs w:val="24"/>
              </w:rPr>
              <w:t>）</w:t>
            </w:r>
          </w:p>
        </w:tc>
        <w:tc>
          <w:tcPr>
            <w:tcW w:w="1628" w:type="dxa"/>
            <w:vMerge w:val="restart"/>
            <w:tcBorders>
              <w:top w:val="single" w:sz="12" w:space="0" w:color="auto"/>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有机硒含量（</w:t>
            </w:r>
            <w:r>
              <w:rPr>
                <w:rFonts w:ascii="宋体" w:eastAsia="宋体" w:hAnsi="宋体" w:hint="eastAsia"/>
                <w:szCs w:val="21"/>
              </w:rPr>
              <w:t>μg/kg</w:t>
            </w:r>
            <w:r>
              <w:rPr>
                <w:rFonts w:ascii="宋体" w:eastAsia="宋体" w:hAnsi="宋体" w:hint="eastAsia"/>
                <w:sz w:val="24"/>
                <w:szCs w:val="24"/>
              </w:rPr>
              <w:t>）</w:t>
            </w:r>
          </w:p>
        </w:tc>
      </w:tr>
      <w:tr w:rsidR="00B61E7A">
        <w:tc>
          <w:tcPr>
            <w:tcW w:w="846" w:type="dxa"/>
            <w:vMerge/>
            <w:tcBorders>
              <w:left w:val="single" w:sz="12" w:space="0" w:color="auto"/>
            </w:tcBorders>
            <w:vAlign w:val="center"/>
          </w:tcPr>
          <w:p w:rsidR="00B61E7A" w:rsidRDefault="00B61E7A">
            <w:pPr>
              <w:spacing w:line="360" w:lineRule="auto"/>
              <w:jc w:val="center"/>
              <w:rPr>
                <w:rFonts w:ascii="宋体" w:eastAsia="宋体" w:hAnsi="宋体"/>
                <w:sz w:val="24"/>
                <w:szCs w:val="24"/>
              </w:rPr>
            </w:pPr>
          </w:p>
        </w:tc>
        <w:tc>
          <w:tcPr>
            <w:tcW w:w="1238"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平行1</w:t>
            </w:r>
          </w:p>
        </w:tc>
        <w:tc>
          <w:tcPr>
            <w:tcW w:w="1042"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平行2</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平均值</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平行1</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平行2</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平均值</w:t>
            </w:r>
          </w:p>
        </w:tc>
        <w:tc>
          <w:tcPr>
            <w:tcW w:w="1628" w:type="dxa"/>
            <w:vMerge/>
            <w:tcBorders>
              <w:right w:val="single" w:sz="12" w:space="0" w:color="auto"/>
            </w:tcBorders>
            <w:vAlign w:val="center"/>
          </w:tcPr>
          <w:p w:rsidR="00B61E7A" w:rsidRDefault="00B61E7A">
            <w:pPr>
              <w:spacing w:line="360" w:lineRule="auto"/>
              <w:jc w:val="center"/>
              <w:rPr>
                <w:rFonts w:ascii="宋体" w:eastAsia="宋体" w:hAnsi="宋体"/>
                <w:sz w:val="24"/>
                <w:szCs w:val="24"/>
              </w:rPr>
            </w:pP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324.804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333.477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329.141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8.098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7.393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7.745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321.395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2</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279.094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301.170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290.132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23.882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20.267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22.075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268.057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3</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478.392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479.866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479.129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31.713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31.760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31.736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447.393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4</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515.305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516.192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515.748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14.028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11.618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12.823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502.925 </w:t>
            </w:r>
          </w:p>
        </w:tc>
      </w:tr>
      <w:tr w:rsidR="00B61E7A">
        <w:trPr>
          <w:trHeight w:val="446"/>
        </w:trPr>
        <w:tc>
          <w:tcPr>
            <w:tcW w:w="846" w:type="dxa"/>
            <w:tcBorders>
              <w:left w:val="single" w:sz="12" w:space="0" w:color="auto"/>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5</w:t>
            </w:r>
          </w:p>
        </w:tc>
        <w:tc>
          <w:tcPr>
            <w:tcW w:w="1238"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296.479 </w:t>
            </w:r>
          </w:p>
        </w:tc>
        <w:tc>
          <w:tcPr>
            <w:tcW w:w="1042"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323.105</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309.792</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10.553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9.087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9.820 </w:t>
            </w:r>
          </w:p>
        </w:tc>
        <w:tc>
          <w:tcPr>
            <w:tcW w:w="1628" w:type="dxa"/>
            <w:tcBorders>
              <w:bottom w:val="single" w:sz="12" w:space="0" w:color="auto"/>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299.972 </w:t>
            </w:r>
          </w:p>
        </w:tc>
      </w:tr>
    </w:tbl>
    <w:p w:rsidR="00B61E7A" w:rsidRDefault="000A50C9">
      <w:pPr>
        <w:spacing w:line="360" w:lineRule="auto"/>
        <w:ind w:firstLineChars="200" w:firstLine="480"/>
        <w:jc w:val="center"/>
        <w:rPr>
          <w:rFonts w:ascii="宋体" w:eastAsia="宋体" w:hAnsi="宋体"/>
          <w:sz w:val="24"/>
          <w:szCs w:val="24"/>
        </w:rPr>
      </w:pPr>
      <w:r>
        <w:rPr>
          <w:rFonts w:ascii="宋体" w:eastAsia="宋体" w:hAnsi="宋体" w:hint="eastAsia"/>
          <w:sz w:val="24"/>
          <w:szCs w:val="24"/>
        </w:rPr>
        <w:t>表12 富硒食用盐中总硒、有机硒、无机硒含量（湿法消解）</w:t>
      </w:r>
    </w:p>
    <w:tbl>
      <w:tblPr>
        <w:tblStyle w:val="a5"/>
        <w:tblW w:w="8926" w:type="dxa"/>
        <w:tblLook w:val="04A0" w:firstRow="1" w:lastRow="0" w:firstColumn="1" w:lastColumn="0" w:noHBand="0" w:noVBand="1"/>
      </w:tblPr>
      <w:tblGrid>
        <w:gridCol w:w="846"/>
        <w:gridCol w:w="1238"/>
        <w:gridCol w:w="1042"/>
        <w:gridCol w:w="1043"/>
        <w:gridCol w:w="1043"/>
        <w:gridCol w:w="1043"/>
        <w:gridCol w:w="1043"/>
        <w:gridCol w:w="1628"/>
      </w:tblGrid>
      <w:tr w:rsidR="00B61E7A">
        <w:tc>
          <w:tcPr>
            <w:tcW w:w="846" w:type="dxa"/>
            <w:vMerge w:val="restart"/>
            <w:tcBorders>
              <w:top w:val="single" w:sz="12" w:space="0" w:color="auto"/>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样品编号</w:t>
            </w:r>
          </w:p>
        </w:tc>
        <w:tc>
          <w:tcPr>
            <w:tcW w:w="3323" w:type="dxa"/>
            <w:gridSpan w:val="3"/>
            <w:tcBorders>
              <w:top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总硒含量（</w:t>
            </w:r>
            <w:r>
              <w:rPr>
                <w:rFonts w:ascii="宋体" w:eastAsia="宋体" w:hAnsi="宋体" w:hint="eastAsia"/>
                <w:szCs w:val="21"/>
              </w:rPr>
              <w:t>μg/kg</w:t>
            </w:r>
            <w:r>
              <w:rPr>
                <w:rFonts w:ascii="宋体" w:eastAsia="宋体" w:hAnsi="宋体" w:hint="eastAsia"/>
                <w:sz w:val="24"/>
                <w:szCs w:val="24"/>
              </w:rPr>
              <w:t>）</w:t>
            </w:r>
          </w:p>
        </w:tc>
        <w:tc>
          <w:tcPr>
            <w:tcW w:w="3129" w:type="dxa"/>
            <w:gridSpan w:val="3"/>
            <w:tcBorders>
              <w:top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无机硒含量（</w:t>
            </w:r>
            <w:r>
              <w:rPr>
                <w:rFonts w:ascii="宋体" w:eastAsia="宋体" w:hAnsi="宋体" w:hint="eastAsia"/>
                <w:szCs w:val="21"/>
              </w:rPr>
              <w:t>μg/kg</w:t>
            </w:r>
            <w:r>
              <w:rPr>
                <w:rFonts w:ascii="宋体" w:eastAsia="宋体" w:hAnsi="宋体" w:hint="eastAsia"/>
                <w:sz w:val="24"/>
                <w:szCs w:val="24"/>
              </w:rPr>
              <w:t>）</w:t>
            </w:r>
          </w:p>
        </w:tc>
        <w:tc>
          <w:tcPr>
            <w:tcW w:w="1628" w:type="dxa"/>
            <w:vMerge w:val="restart"/>
            <w:tcBorders>
              <w:top w:val="single" w:sz="12" w:space="0" w:color="auto"/>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有机硒含量（</w:t>
            </w:r>
            <w:r>
              <w:rPr>
                <w:rFonts w:ascii="宋体" w:eastAsia="宋体" w:hAnsi="宋体" w:hint="eastAsia"/>
                <w:szCs w:val="21"/>
              </w:rPr>
              <w:t>μg/kg</w:t>
            </w:r>
            <w:r>
              <w:rPr>
                <w:rFonts w:ascii="宋体" w:eastAsia="宋体" w:hAnsi="宋体" w:hint="eastAsia"/>
                <w:sz w:val="24"/>
                <w:szCs w:val="24"/>
              </w:rPr>
              <w:t>）</w:t>
            </w:r>
          </w:p>
        </w:tc>
      </w:tr>
      <w:tr w:rsidR="00B61E7A">
        <w:tc>
          <w:tcPr>
            <w:tcW w:w="846" w:type="dxa"/>
            <w:vMerge/>
            <w:tcBorders>
              <w:top w:val="single" w:sz="12" w:space="0" w:color="auto"/>
              <w:left w:val="single" w:sz="12" w:space="0" w:color="auto"/>
            </w:tcBorders>
            <w:vAlign w:val="center"/>
          </w:tcPr>
          <w:p w:rsidR="00B61E7A" w:rsidRDefault="00B61E7A">
            <w:pPr>
              <w:spacing w:line="360" w:lineRule="auto"/>
              <w:jc w:val="center"/>
              <w:rPr>
                <w:rFonts w:ascii="宋体" w:eastAsia="宋体" w:hAnsi="宋体"/>
                <w:sz w:val="24"/>
                <w:szCs w:val="24"/>
              </w:rPr>
            </w:pPr>
          </w:p>
        </w:tc>
        <w:tc>
          <w:tcPr>
            <w:tcW w:w="1238"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平行1</w:t>
            </w:r>
          </w:p>
        </w:tc>
        <w:tc>
          <w:tcPr>
            <w:tcW w:w="1042"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平行2</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平均值</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平行1</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平行2</w:t>
            </w:r>
          </w:p>
        </w:tc>
        <w:tc>
          <w:tcPr>
            <w:tcW w:w="1043" w:type="dxa"/>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平均值</w:t>
            </w:r>
          </w:p>
        </w:tc>
        <w:tc>
          <w:tcPr>
            <w:tcW w:w="1628" w:type="dxa"/>
            <w:vMerge/>
            <w:tcBorders>
              <w:right w:val="single" w:sz="12" w:space="0" w:color="auto"/>
            </w:tcBorders>
            <w:vAlign w:val="center"/>
          </w:tcPr>
          <w:p w:rsidR="00B61E7A" w:rsidRDefault="00B61E7A">
            <w:pPr>
              <w:spacing w:line="360" w:lineRule="auto"/>
              <w:jc w:val="center"/>
              <w:rPr>
                <w:rFonts w:ascii="宋体" w:eastAsia="宋体" w:hAnsi="宋体"/>
                <w:sz w:val="24"/>
                <w:szCs w:val="24"/>
              </w:rPr>
            </w:pP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1</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285.015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322.715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303.865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8.098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7.393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7.745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296.120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2</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278.742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309.064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293.903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23.882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20.267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22.075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271.828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3</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426.281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400.079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413.180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31.713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31.760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31.736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381.444 </w:t>
            </w:r>
          </w:p>
        </w:tc>
      </w:tr>
      <w:tr w:rsidR="00B61E7A">
        <w:tc>
          <w:tcPr>
            <w:tcW w:w="846" w:type="dxa"/>
            <w:tcBorders>
              <w:left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4</w:t>
            </w:r>
          </w:p>
        </w:tc>
        <w:tc>
          <w:tcPr>
            <w:tcW w:w="1238"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508.838 </w:t>
            </w:r>
          </w:p>
        </w:tc>
        <w:tc>
          <w:tcPr>
            <w:tcW w:w="1042"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512.223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510.531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14.028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11.618 </w:t>
            </w:r>
          </w:p>
        </w:tc>
        <w:tc>
          <w:tcPr>
            <w:tcW w:w="1043" w:type="dxa"/>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12.823 </w:t>
            </w:r>
          </w:p>
        </w:tc>
        <w:tc>
          <w:tcPr>
            <w:tcW w:w="1628" w:type="dxa"/>
            <w:tcBorders>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497.707 </w:t>
            </w:r>
          </w:p>
        </w:tc>
      </w:tr>
      <w:tr w:rsidR="00B61E7A">
        <w:tc>
          <w:tcPr>
            <w:tcW w:w="846" w:type="dxa"/>
            <w:tcBorders>
              <w:left w:val="single" w:sz="12" w:space="0" w:color="auto"/>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宋体" w:eastAsia="宋体" w:hAnsi="宋体" w:hint="eastAsia"/>
                <w:sz w:val="24"/>
                <w:szCs w:val="24"/>
              </w:rPr>
              <w:t>5</w:t>
            </w:r>
          </w:p>
        </w:tc>
        <w:tc>
          <w:tcPr>
            <w:tcW w:w="1238"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295.715 </w:t>
            </w:r>
          </w:p>
        </w:tc>
        <w:tc>
          <w:tcPr>
            <w:tcW w:w="1042"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304.443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300.079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10.553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9.087 </w:t>
            </w:r>
          </w:p>
        </w:tc>
        <w:tc>
          <w:tcPr>
            <w:tcW w:w="1043" w:type="dxa"/>
            <w:tcBorders>
              <w:bottom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9.820 </w:t>
            </w:r>
          </w:p>
        </w:tc>
        <w:tc>
          <w:tcPr>
            <w:tcW w:w="1628" w:type="dxa"/>
            <w:tcBorders>
              <w:bottom w:val="single" w:sz="12" w:space="0" w:color="auto"/>
              <w:right w:val="single" w:sz="12" w:space="0" w:color="auto"/>
            </w:tcBorders>
            <w:vAlign w:val="center"/>
          </w:tcPr>
          <w:p w:rsidR="00B61E7A" w:rsidRDefault="000A50C9">
            <w:pPr>
              <w:spacing w:line="360" w:lineRule="auto"/>
              <w:jc w:val="center"/>
              <w:rPr>
                <w:rFonts w:ascii="宋体" w:eastAsia="宋体" w:hAnsi="宋体"/>
                <w:sz w:val="24"/>
                <w:szCs w:val="24"/>
              </w:rPr>
            </w:pPr>
            <w:r>
              <w:rPr>
                <w:rFonts w:ascii="等线" w:eastAsia="等线" w:hAnsi="等线" w:hint="eastAsia"/>
                <w:color w:val="000000"/>
                <w:sz w:val="22"/>
              </w:rPr>
              <w:t xml:space="preserve">290.259 </w:t>
            </w:r>
          </w:p>
        </w:tc>
      </w:tr>
    </w:tbl>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四、标准中涉及专利情况</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本标准中不涉及专利问题。</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五、预期达到的社会效益、对产业发展的作用等情况</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统一规范检测方法，填补国内盐行业此方面空白。对盐行业发展具有重要的现实意义。提高产品质量，增强市场竞争力。</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六、与国际、国外对比情况</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本标准制定过程中未查到同类国际、国外标准，没有采用国际标准或国外先进标准。本标准水平为国内领先水平。</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七、在标准体系中的位置，与现行相关法律、法规、规章及相关标准，</w:t>
      </w:r>
      <w:r>
        <w:rPr>
          <w:rFonts w:ascii="宋体" w:eastAsia="宋体" w:hAnsi="宋体"/>
          <w:b/>
          <w:bCs/>
          <w:sz w:val="24"/>
          <w:szCs w:val="24"/>
        </w:rPr>
        <w:t xml:space="preserve"> </w:t>
      </w:r>
      <w:r>
        <w:rPr>
          <w:rFonts w:ascii="宋体" w:eastAsia="宋体" w:hAnsi="宋体" w:hint="eastAsia"/>
          <w:b/>
          <w:bCs/>
          <w:sz w:val="24"/>
          <w:szCs w:val="24"/>
        </w:rPr>
        <w:t>特别是强制性标准的协调性</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本专业领域的标准体系框架如下图：</w:t>
      </w:r>
    </w:p>
    <w:p w:rsidR="002C27F7" w:rsidRDefault="000A50C9" w:rsidP="002C27F7">
      <w:pPr>
        <w:spacing w:line="360" w:lineRule="auto"/>
        <w:ind w:leftChars="-136" w:left="-3" w:hangingChars="118" w:hanging="283"/>
        <w:rPr>
          <w:color w:val="000000" w:themeColor="text1"/>
          <w:sz w:val="24"/>
        </w:rPr>
      </w:pPr>
      <w:r>
        <w:rPr>
          <w:color w:val="000000" w:themeColor="text1"/>
          <w:sz w:val="24"/>
        </w:rPr>
        <w:object w:dxaOrig="9197" w:dyaOrig="4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16.95pt" o:ole="">
            <v:imagedata r:id="rId7" o:title=""/>
          </v:shape>
          <o:OLEObject Type="Embed" ProgID="Visio.Drawing.11" ShapeID="_x0000_i1025" DrawAspect="Content" ObjectID="_1810103105" r:id="rId8"/>
        </w:object>
      </w:r>
      <w:r w:rsidR="002C27F7">
        <w:rPr>
          <w:color w:val="000000" w:themeColor="text1"/>
          <w:sz w:val="24"/>
        </w:rPr>
        <w:t xml:space="preserve"> </w:t>
      </w:r>
    </w:p>
    <w:p w:rsidR="00B61E7A" w:rsidRDefault="000A50C9" w:rsidP="002C27F7">
      <w:pPr>
        <w:spacing w:line="360" w:lineRule="auto"/>
        <w:ind w:leftChars="-36" w:left="-76" w:firstLineChars="200" w:firstLine="480"/>
        <w:rPr>
          <w:rFonts w:ascii="宋体" w:eastAsia="宋体" w:hAnsi="宋体"/>
          <w:sz w:val="24"/>
          <w:szCs w:val="24"/>
        </w:rPr>
      </w:pPr>
      <w:r>
        <w:rPr>
          <w:rFonts w:ascii="宋体" w:eastAsia="宋体" w:hAnsi="宋体" w:hint="eastAsia"/>
          <w:sz w:val="24"/>
          <w:szCs w:val="24"/>
        </w:rPr>
        <w:t>根据全国盐业标准化技术委员会提出的盐业“十四五”标准体系建设方案，此次制定的《制盐工业通用检测方法 硒的测定》行业标准属于“9</w:t>
      </w:r>
      <w:r>
        <w:rPr>
          <w:rFonts w:ascii="宋体" w:eastAsia="宋体" w:hAnsi="宋体"/>
          <w:sz w:val="24"/>
          <w:szCs w:val="24"/>
        </w:rPr>
        <w:t>9</w:t>
      </w:r>
      <w:r>
        <w:rPr>
          <w:rFonts w:ascii="宋体" w:eastAsia="宋体" w:hAnsi="宋体" w:hint="eastAsia"/>
          <w:sz w:val="24"/>
          <w:szCs w:val="24"/>
        </w:rPr>
        <w:t>其他”，其体系表编号为“</w:t>
      </w:r>
      <w:r w:rsidR="000A4DAB" w:rsidRPr="000A4DAB">
        <w:rPr>
          <w:rFonts w:ascii="宋体" w:eastAsia="宋体" w:hAnsi="宋体"/>
          <w:sz w:val="24"/>
          <w:szCs w:val="24"/>
        </w:rPr>
        <w:t>152950000000000021FF</w:t>
      </w:r>
      <w:r>
        <w:rPr>
          <w:rFonts w:ascii="宋体" w:eastAsia="宋体" w:hAnsi="宋体" w:hint="eastAsia"/>
          <w:sz w:val="24"/>
          <w:szCs w:val="24"/>
        </w:rPr>
        <w:t>”。</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本标准与现行相关法律、法规、规章及相关标准协调一致。</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八、重大分歧意见的处理经过和依据</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九、标准性质的建议说明</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建议本标准的性质为推荐性行业标准。</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十、贯彻标准的要求和措施建议</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t>建议本标准批准发布</w:t>
      </w:r>
      <w:r>
        <w:rPr>
          <w:rFonts w:ascii="宋体" w:eastAsia="宋体" w:hAnsi="宋体"/>
          <w:sz w:val="24"/>
          <w:szCs w:val="24"/>
        </w:rPr>
        <w:t xml:space="preserve"> 6 </w:t>
      </w:r>
      <w:r>
        <w:rPr>
          <w:rFonts w:ascii="宋体" w:eastAsia="宋体" w:hAnsi="宋体" w:hint="eastAsia"/>
          <w:sz w:val="24"/>
          <w:szCs w:val="24"/>
        </w:rPr>
        <w:t>个月后实施。</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十一、废止现行相关标准的建议</w:t>
      </w:r>
    </w:p>
    <w:p w:rsidR="00B61E7A" w:rsidRDefault="000A50C9">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无。</w:t>
      </w:r>
    </w:p>
    <w:p w:rsidR="00B61E7A" w:rsidRDefault="000A50C9">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十二、其他应予说明的事项</w:t>
      </w:r>
    </w:p>
    <w:p w:rsidR="00B61E7A" w:rsidRDefault="000A50C9">
      <w:pPr>
        <w:pStyle w:val="a6"/>
        <w:spacing w:line="360" w:lineRule="auto"/>
        <w:ind w:firstLine="480"/>
        <w:rPr>
          <w:rFonts w:ascii="宋体" w:hAnsi="宋体"/>
          <w:sz w:val="24"/>
        </w:rPr>
      </w:pPr>
      <w:bookmarkStart w:id="2" w:name="附件3_征求意见表"/>
      <w:bookmarkEnd w:id="2"/>
      <w:r>
        <w:rPr>
          <w:rFonts w:ascii="宋体" w:hAnsi="宋体" w:cstheme="minorBidi" w:hint="eastAsia"/>
          <w:sz w:val="24"/>
        </w:rPr>
        <w:t>无</w:t>
      </w:r>
    </w:p>
    <w:p w:rsidR="00B61E7A" w:rsidRDefault="000A50C9">
      <w:pPr>
        <w:spacing w:line="360" w:lineRule="auto"/>
        <w:jc w:val="right"/>
        <w:rPr>
          <w:rFonts w:ascii="宋体" w:eastAsia="宋体" w:hAnsi="宋体"/>
          <w:b/>
          <w:bCs/>
          <w:sz w:val="24"/>
          <w:szCs w:val="28"/>
        </w:rPr>
      </w:pPr>
      <w:r>
        <w:rPr>
          <w:rFonts w:ascii="宋体" w:eastAsia="宋体" w:hAnsi="宋体" w:hint="eastAsia"/>
          <w:b/>
          <w:bCs/>
          <w:sz w:val="24"/>
          <w:szCs w:val="28"/>
        </w:rPr>
        <w:t>《制盐工业通用检测方法 硒的测定》标准编制组</w:t>
      </w:r>
    </w:p>
    <w:p w:rsidR="00B61E7A" w:rsidRDefault="002C27F7">
      <w:pPr>
        <w:spacing w:line="360" w:lineRule="auto"/>
        <w:ind w:firstLineChars="200" w:firstLine="480"/>
        <w:jc w:val="right"/>
        <w:rPr>
          <w:rFonts w:ascii="宋体" w:eastAsia="宋体" w:hAnsi="宋体"/>
          <w:sz w:val="22"/>
        </w:rPr>
      </w:pPr>
      <w:r>
        <w:rPr>
          <w:rFonts w:ascii="宋体" w:hAnsi="宋体"/>
          <w:b/>
          <w:bCs/>
          <w:sz w:val="24"/>
          <w:szCs w:val="24"/>
        </w:rPr>
        <w:t xml:space="preserve">      </w:t>
      </w:r>
      <w:r w:rsidR="000A50C9">
        <w:rPr>
          <w:rFonts w:ascii="宋体" w:hAnsi="宋体"/>
          <w:b/>
          <w:bCs/>
          <w:sz w:val="24"/>
          <w:szCs w:val="24"/>
        </w:rPr>
        <w:t xml:space="preserve">    </w:t>
      </w:r>
      <w:r w:rsidR="000A50C9">
        <w:rPr>
          <w:rFonts w:ascii="宋体" w:hAnsi="宋体" w:hint="eastAsia"/>
          <w:b/>
          <w:bCs/>
          <w:sz w:val="24"/>
          <w:szCs w:val="24"/>
        </w:rPr>
        <w:t>2025</w:t>
      </w:r>
      <w:r w:rsidR="000A50C9">
        <w:rPr>
          <w:rFonts w:ascii="宋体" w:hAnsi="宋体" w:hint="eastAsia"/>
          <w:b/>
          <w:bCs/>
          <w:sz w:val="24"/>
          <w:szCs w:val="24"/>
        </w:rPr>
        <w:t>年</w:t>
      </w:r>
      <w:r w:rsidR="000A50C9">
        <w:rPr>
          <w:rFonts w:ascii="宋体" w:hAnsi="宋体" w:hint="eastAsia"/>
          <w:b/>
          <w:bCs/>
          <w:sz w:val="24"/>
          <w:szCs w:val="24"/>
        </w:rPr>
        <w:t>4</w:t>
      </w:r>
      <w:r w:rsidR="000A50C9">
        <w:rPr>
          <w:rFonts w:ascii="宋体" w:hAnsi="宋体" w:hint="eastAsia"/>
          <w:b/>
          <w:bCs/>
          <w:sz w:val="24"/>
          <w:szCs w:val="24"/>
        </w:rPr>
        <w:t>月</w:t>
      </w:r>
      <w:r w:rsidR="000A50C9">
        <w:rPr>
          <w:rFonts w:ascii="宋体" w:hAnsi="宋体" w:hint="eastAsia"/>
          <w:b/>
          <w:bCs/>
          <w:sz w:val="24"/>
          <w:szCs w:val="24"/>
        </w:rPr>
        <w:t>6</w:t>
      </w:r>
      <w:r w:rsidR="000A50C9">
        <w:rPr>
          <w:rFonts w:ascii="宋体" w:hAnsi="宋体" w:hint="eastAsia"/>
          <w:b/>
          <w:bCs/>
          <w:sz w:val="24"/>
          <w:szCs w:val="24"/>
        </w:rPr>
        <w:t>日</w:t>
      </w:r>
    </w:p>
    <w:sectPr w:rsidR="00B61E7A">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C3C" w:rsidRDefault="00394C3C" w:rsidP="00C039D0">
      <w:r>
        <w:separator/>
      </w:r>
    </w:p>
  </w:endnote>
  <w:endnote w:type="continuationSeparator" w:id="0">
    <w:p w:rsidR="00394C3C" w:rsidRDefault="00394C3C" w:rsidP="00C0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C3C" w:rsidRDefault="00394C3C" w:rsidP="00C039D0">
      <w:r>
        <w:separator/>
      </w:r>
    </w:p>
  </w:footnote>
  <w:footnote w:type="continuationSeparator" w:id="0">
    <w:p w:rsidR="00394C3C" w:rsidRDefault="00394C3C" w:rsidP="00C039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B0B"/>
    <w:rsid w:val="00003640"/>
    <w:rsid w:val="00040133"/>
    <w:rsid w:val="000437C0"/>
    <w:rsid w:val="00043EEB"/>
    <w:rsid w:val="000448C9"/>
    <w:rsid w:val="0005057E"/>
    <w:rsid w:val="00052E45"/>
    <w:rsid w:val="00071BEC"/>
    <w:rsid w:val="0009333D"/>
    <w:rsid w:val="000A4DAB"/>
    <w:rsid w:val="000A50C9"/>
    <w:rsid w:val="000B5597"/>
    <w:rsid w:val="000B5F1C"/>
    <w:rsid w:val="000B62B9"/>
    <w:rsid w:val="000B6987"/>
    <w:rsid w:val="000C1DE1"/>
    <w:rsid w:val="000D2BF6"/>
    <w:rsid w:val="000D6CA7"/>
    <w:rsid w:val="000E0527"/>
    <w:rsid w:val="000E0994"/>
    <w:rsid w:val="000E7703"/>
    <w:rsid w:val="00104114"/>
    <w:rsid w:val="0012570B"/>
    <w:rsid w:val="00135471"/>
    <w:rsid w:val="00160077"/>
    <w:rsid w:val="001857DB"/>
    <w:rsid w:val="001A0958"/>
    <w:rsid w:val="001A0AA2"/>
    <w:rsid w:val="001B3225"/>
    <w:rsid w:val="001B433E"/>
    <w:rsid w:val="001C2970"/>
    <w:rsid w:val="001C4779"/>
    <w:rsid w:val="001F67E9"/>
    <w:rsid w:val="00216E88"/>
    <w:rsid w:val="00230B03"/>
    <w:rsid w:val="00235CEB"/>
    <w:rsid w:val="00246A1B"/>
    <w:rsid w:val="0026415F"/>
    <w:rsid w:val="002665DA"/>
    <w:rsid w:val="002731B4"/>
    <w:rsid w:val="00274C4E"/>
    <w:rsid w:val="00275E59"/>
    <w:rsid w:val="002761FD"/>
    <w:rsid w:val="00286F23"/>
    <w:rsid w:val="002B1378"/>
    <w:rsid w:val="002B7EE1"/>
    <w:rsid w:val="002C27F7"/>
    <w:rsid w:val="002D245A"/>
    <w:rsid w:val="002D47AB"/>
    <w:rsid w:val="002E2A70"/>
    <w:rsid w:val="002F1811"/>
    <w:rsid w:val="002F484F"/>
    <w:rsid w:val="00310B37"/>
    <w:rsid w:val="00311031"/>
    <w:rsid w:val="003141F5"/>
    <w:rsid w:val="003276DE"/>
    <w:rsid w:val="00327CA1"/>
    <w:rsid w:val="003313FE"/>
    <w:rsid w:val="00351F5B"/>
    <w:rsid w:val="00363069"/>
    <w:rsid w:val="0036677E"/>
    <w:rsid w:val="00366F1B"/>
    <w:rsid w:val="00381D26"/>
    <w:rsid w:val="00394C3C"/>
    <w:rsid w:val="003A38E2"/>
    <w:rsid w:val="003B3C2F"/>
    <w:rsid w:val="003B45CD"/>
    <w:rsid w:val="003B7A3A"/>
    <w:rsid w:val="003B7BCF"/>
    <w:rsid w:val="003C3018"/>
    <w:rsid w:val="003E30FE"/>
    <w:rsid w:val="003F5B60"/>
    <w:rsid w:val="004076B4"/>
    <w:rsid w:val="00421106"/>
    <w:rsid w:val="00437CB3"/>
    <w:rsid w:val="00442EE9"/>
    <w:rsid w:val="0044324F"/>
    <w:rsid w:val="00450E0E"/>
    <w:rsid w:val="004650E3"/>
    <w:rsid w:val="00466C63"/>
    <w:rsid w:val="004942DF"/>
    <w:rsid w:val="004A3873"/>
    <w:rsid w:val="004A77E7"/>
    <w:rsid w:val="004B413F"/>
    <w:rsid w:val="004D6C3B"/>
    <w:rsid w:val="004E6D02"/>
    <w:rsid w:val="00501ABE"/>
    <w:rsid w:val="0051664A"/>
    <w:rsid w:val="0053259F"/>
    <w:rsid w:val="005465A0"/>
    <w:rsid w:val="00564E4A"/>
    <w:rsid w:val="00566FC7"/>
    <w:rsid w:val="0057245F"/>
    <w:rsid w:val="00582FA6"/>
    <w:rsid w:val="00586B78"/>
    <w:rsid w:val="00594218"/>
    <w:rsid w:val="005C5033"/>
    <w:rsid w:val="005D7A80"/>
    <w:rsid w:val="005D7E16"/>
    <w:rsid w:val="0063352E"/>
    <w:rsid w:val="006410D4"/>
    <w:rsid w:val="00647047"/>
    <w:rsid w:val="00653CF9"/>
    <w:rsid w:val="00662B22"/>
    <w:rsid w:val="00663E4D"/>
    <w:rsid w:val="00666917"/>
    <w:rsid w:val="00672B0B"/>
    <w:rsid w:val="00672FEA"/>
    <w:rsid w:val="006776B6"/>
    <w:rsid w:val="006A52C6"/>
    <w:rsid w:val="006C2411"/>
    <w:rsid w:val="006D193C"/>
    <w:rsid w:val="006E4BD4"/>
    <w:rsid w:val="006F14B5"/>
    <w:rsid w:val="006F1FA5"/>
    <w:rsid w:val="006F6DA6"/>
    <w:rsid w:val="00700363"/>
    <w:rsid w:val="0071446D"/>
    <w:rsid w:val="00716FA2"/>
    <w:rsid w:val="00733F77"/>
    <w:rsid w:val="00734246"/>
    <w:rsid w:val="007556E1"/>
    <w:rsid w:val="007A3CF2"/>
    <w:rsid w:val="007C1A28"/>
    <w:rsid w:val="007D7036"/>
    <w:rsid w:val="007E2314"/>
    <w:rsid w:val="007F21C7"/>
    <w:rsid w:val="007F723B"/>
    <w:rsid w:val="00801527"/>
    <w:rsid w:val="00802BA9"/>
    <w:rsid w:val="00807F67"/>
    <w:rsid w:val="0081521F"/>
    <w:rsid w:val="00817470"/>
    <w:rsid w:val="00820968"/>
    <w:rsid w:val="00821B8E"/>
    <w:rsid w:val="008363BD"/>
    <w:rsid w:val="00847192"/>
    <w:rsid w:val="00855F6A"/>
    <w:rsid w:val="00857E7E"/>
    <w:rsid w:val="008632CA"/>
    <w:rsid w:val="0086436C"/>
    <w:rsid w:val="00873998"/>
    <w:rsid w:val="00882CF5"/>
    <w:rsid w:val="00891E7B"/>
    <w:rsid w:val="00895D72"/>
    <w:rsid w:val="008A3AED"/>
    <w:rsid w:val="008A5175"/>
    <w:rsid w:val="008A5487"/>
    <w:rsid w:val="008D0613"/>
    <w:rsid w:val="008D1401"/>
    <w:rsid w:val="008E2C1F"/>
    <w:rsid w:val="008E35C5"/>
    <w:rsid w:val="008F3106"/>
    <w:rsid w:val="008F7111"/>
    <w:rsid w:val="00906DA6"/>
    <w:rsid w:val="00915502"/>
    <w:rsid w:val="0092450A"/>
    <w:rsid w:val="00927D4B"/>
    <w:rsid w:val="009306DE"/>
    <w:rsid w:val="009316BB"/>
    <w:rsid w:val="0094455B"/>
    <w:rsid w:val="00975BF8"/>
    <w:rsid w:val="009845AA"/>
    <w:rsid w:val="00985C6B"/>
    <w:rsid w:val="00986805"/>
    <w:rsid w:val="009A337E"/>
    <w:rsid w:val="009B21CD"/>
    <w:rsid w:val="009B33D8"/>
    <w:rsid w:val="009C1AB7"/>
    <w:rsid w:val="009C7F02"/>
    <w:rsid w:val="009E5FF7"/>
    <w:rsid w:val="009F28F7"/>
    <w:rsid w:val="009F52A1"/>
    <w:rsid w:val="009F745A"/>
    <w:rsid w:val="00A01505"/>
    <w:rsid w:val="00A027F9"/>
    <w:rsid w:val="00A03FBD"/>
    <w:rsid w:val="00A046DA"/>
    <w:rsid w:val="00A04916"/>
    <w:rsid w:val="00A06BA0"/>
    <w:rsid w:val="00A10FB9"/>
    <w:rsid w:val="00A344E9"/>
    <w:rsid w:val="00A34E4C"/>
    <w:rsid w:val="00A42918"/>
    <w:rsid w:val="00A50F59"/>
    <w:rsid w:val="00A76721"/>
    <w:rsid w:val="00A86362"/>
    <w:rsid w:val="00A92421"/>
    <w:rsid w:val="00A971E6"/>
    <w:rsid w:val="00AA3F4F"/>
    <w:rsid w:val="00AB3FD0"/>
    <w:rsid w:val="00AB4A07"/>
    <w:rsid w:val="00AC27FB"/>
    <w:rsid w:val="00AD44AE"/>
    <w:rsid w:val="00AE1580"/>
    <w:rsid w:val="00AE15E9"/>
    <w:rsid w:val="00AE2663"/>
    <w:rsid w:val="00AE44B6"/>
    <w:rsid w:val="00AF67A3"/>
    <w:rsid w:val="00B03B39"/>
    <w:rsid w:val="00B10788"/>
    <w:rsid w:val="00B151B7"/>
    <w:rsid w:val="00B15D1E"/>
    <w:rsid w:val="00B213DC"/>
    <w:rsid w:val="00B27105"/>
    <w:rsid w:val="00B31026"/>
    <w:rsid w:val="00B337A4"/>
    <w:rsid w:val="00B33C87"/>
    <w:rsid w:val="00B40A29"/>
    <w:rsid w:val="00B439E5"/>
    <w:rsid w:val="00B44D7A"/>
    <w:rsid w:val="00B51442"/>
    <w:rsid w:val="00B61E7A"/>
    <w:rsid w:val="00B6766C"/>
    <w:rsid w:val="00B72737"/>
    <w:rsid w:val="00B8649E"/>
    <w:rsid w:val="00BA1751"/>
    <w:rsid w:val="00BC184A"/>
    <w:rsid w:val="00BD155B"/>
    <w:rsid w:val="00BD47B9"/>
    <w:rsid w:val="00BD6D82"/>
    <w:rsid w:val="00BD72B0"/>
    <w:rsid w:val="00BE4DB3"/>
    <w:rsid w:val="00BE7B1E"/>
    <w:rsid w:val="00C039D0"/>
    <w:rsid w:val="00C10612"/>
    <w:rsid w:val="00C2476B"/>
    <w:rsid w:val="00C32DA0"/>
    <w:rsid w:val="00C40BBA"/>
    <w:rsid w:val="00C45981"/>
    <w:rsid w:val="00C46B10"/>
    <w:rsid w:val="00C503FF"/>
    <w:rsid w:val="00C563A1"/>
    <w:rsid w:val="00C73C9A"/>
    <w:rsid w:val="00C7712B"/>
    <w:rsid w:val="00C77554"/>
    <w:rsid w:val="00C9264E"/>
    <w:rsid w:val="00C938F5"/>
    <w:rsid w:val="00CA2047"/>
    <w:rsid w:val="00CB08F3"/>
    <w:rsid w:val="00CB2EA9"/>
    <w:rsid w:val="00CB4D4D"/>
    <w:rsid w:val="00CC455D"/>
    <w:rsid w:val="00CD4343"/>
    <w:rsid w:val="00CD44DA"/>
    <w:rsid w:val="00CD653A"/>
    <w:rsid w:val="00CF0037"/>
    <w:rsid w:val="00D00003"/>
    <w:rsid w:val="00D14CEA"/>
    <w:rsid w:val="00D15414"/>
    <w:rsid w:val="00D21809"/>
    <w:rsid w:val="00D21B16"/>
    <w:rsid w:val="00D24175"/>
    <w:rsid w:val="00D24A94"/>
    <w:rsid w:val="00D4351E"/>
    <w:rsid w:val="00D47179"/>
    <w:rsid w:val="00D4753A"/>
    <w:rsid w:val="00D6578A"/>
    <w:rsid w:val="00D71ED2"/>
    <w:rsid w:val="00D84DB0"/>
    <w:rsid w:val="00D87EF2"/>
    <w:rsid w:val="00D90E2B"/>
    <w:rsid w:val="00D914A4"/>
    <w:rsid w:val="00DB4000"/>
    <w:rsid w:val="00DB51AE"/>
    <w:rsid w:val="00DC5763"/>
    <w:rsid w:val="00DD152D"/>
    <w:rsid w:val="00DD2F13"/>
    <w:rsid w:val="00DE2008"/>
    <w:rsid w:val="00DE71A3"/>
    <w:rsid w:val="00DE75B4"/>
    <w:rsid w:val="00E03F8E"/>
    <w:rsid w:val="00E17F06"/>
    <w:rsid w:val="00E3004D"/>
    <w:rsid w:val="00E35463"/>
    <w:rsid w:val="00E36AE7"/>
    <w:rsid w:val="00E43252"/>
    <w:rsid w:val="00E67366"/>
    <w:rsid w:val="00E70B66"/>
    <w:rsid w:val="00E71749"/>
    <w:rsid w:val="00E81070"/>
    <w:rsid w:val="00E84966"/>
    <w:rsid w:val="00E926E4"/>
    <w:rsid w:val="00EA2EF2"/>
    <w:rsid w:val="00EA6753"/>
    <w:rsid w:val="00EB29CC"/>
    <w:rsid w:val="00EB2F93"/>
    <w:rsid w:val="00EC135A"/>
    <w:rsid w:val="00ED6B63"/>
    <w:rsid w:val="00EE22FE"/>
    <w:rsid w:val="00EE47B3"/>
    <w:rsid w:val="00EF052B"/>
    <w:rsid w:val="00EF580F"/>
    <w:rsid w:val="00F1293E"/>
    <w:rsid w:val="00F16E0D"/>
    <w:rsid w:val="00F34D77"/>
    <w:rsid w:val="00F35F42"/>
    <w:rsid w:val="00F42CED"/>
    <w:rsid w:val="00F82E17"/>
    <w:rsid w:val="00F921AA"/>
    <w:rsid w:val="00F97F6F"/>
    <w:rsid w:val="00FE3B4F"/>
    <w:rsid w:val="00FE73E6"/>
    <w:rsid w:val="00FF5B9E"/>
    <w:rsid w:val="00FF5D30"/>
    <w:rsid w:val="13FB251C"/>
    <w:rsid w:val="1CAE0692"/>
    <w:rsid w:val="424B6805"/>
    <w:rsid w:val="46E56A5F"/>
    <w:rsid w:val="4D9F7D3A"/>
    <w:rsid w:val="4F0C2002"/>
    <w:rsid w:val="50F3137A"/>
    <w:rsid w:val="547D414D"/>
    <w:rsid w:val="58CB22BD"/>
    <w:rsid w:val="62447B40"/>
    <w:rsid w:val="637BA636"/>
    <w:rsid w:val="66FB0739"/>
    <w:rsid w:val="6C8A6409"/>
    <w:rsid w:val="7AFFD717"/>
    <w:rsid w:val="7F1F0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03FD908-2D84-4CFE-AD17-C5EEAA18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rPr>
      <w:rFonts w:ascii="Times New Roman" w:eastAsia="宋体" w:hAnsi="Times New Roman" w:cs="Times New Roman"/>
      <w:szCs w:val="24"/>
    </w:rPr>
  </w:style>
  <w:style w:type="paragraph" w:customStyle="1" w:styleId="a7">
    <w:name w:val="段"/>
    <w:link w:val="Char1"/>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1">
    <w:name w:val="段 Char"/>
    <w:link w:val="a7"/>
    <w:qFormat/>
    <w:rPr>
      <w:rFonts w:ascii="宋体" w:eastAsia="宋体" w:hAnsi="Times New Roman" w:cs="Times New Roman"/>
      <w:sz w:val="21"/>
    </w:rPr>
  </w:style>
  <w:style w:type="paragraph" w:customStyle="1" w:styleId="a8">
    <w:name w:val="正文公式编号制表符"/>
    <w:basedOn w:val="a7"/>
    <w:next w:val="a7"/>
    <w:qFormat/>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1910</TotalTime>
  <Pages>11</Pages>
  <Words>1432</Words>
  <Characters>8169</Characters>
  <Application>Microsoft Office Word</Application>
  <DocSecurity>0</DocSecurity>
  <Lines>68</Lines>
  <Paragraphs>19</Paragraphs>
  <ScaleCrop>false</ScaleCrop>
  <Company>Microsoft</Company>
  <LinksUpToDate>false</LinksUpToDate>
  <CharactersWithSpaces>9582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YS</dc:creator>
  <cp:lastModifiedBy>任青考</cp:lastModifiedBy>
  <cp:revision>160</cp:revision>
  <dcterms:created xsi:type="dcterms:W3CDTF">2021-05-29T06:35:00Z</dcterms:created>
  <dcterms:modified xsi:type="dcterms:W3CDTF">2025-05-30T01:38:00Z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052A9B57044845809FE5A1FBEFF13177</vt:lpwstr>
  </property>
</Properties>
</file>